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ATA/344/2008 vom 24. Juni 2008</w:t>
      </w:r>
    </w:p>
    <w:p>
      <w:r>
        <w:t>GE Cour de justice, 2008-06-24, FR</w:t>
      </w:r>
    </w:p>
    <w:p>
      <w:r>
        <w:rPr>
          <w:b/>
        </w:rPr>
        <w:t xml:space="preserve">Quelle: </w:t>
      </w:r>
      <w:r>
        <w:t>https://mcp.opencaselaw.ch/entscheid/ge_gerichte_ATA_344_2008</w:t>
      </w:r>
    </w:p>
    <w:p>
      <w:r>
        <w:t>FR: GE_GERICHTE ATA/344/2008 du 24 juin 2008</w:t>
      </w:r>
    </w:p>
    <w:p>
      <w:r>
        <w:t>IT: GE_GERICHTE ATA/344/2008 del 24 giugno 2008</w:t>
      </w:r>
    </w:p>
    <w:p>
      <w:pPr>
        <w:pStyle w:val="Heading2"/>
      </w:pPr>
      <w:r>
        <w:t>Erwägungen</w:t>
      </w:r>
    </w:p>
    <w:p>
      <w:r>
        <w:rPr>
          <w:b/>
        </w:rPr>
        <w:t>E. 13</w:t>
      </w:r>
    </w:p>
    <w:p>
      <w:r>
        <w:t>LPAC), la jurisprudence a en effet considéré que le fait que la procédure d’évaluation de l’employée n’aie pas été observée n’avait pas d’incidence directe sur la validité du licenciement, dès lors que les conditions de ce dernier sont remplies (ATA/563/1999 du 28 septembre 1999). L’article 21 LPAC ne pose en effet aucune condition au licenciement, en particulier pas l’existence de rapports d’évaluation négatifs. 7. a. Mme X_______ soutient encore que la décision dont est recours viole le principe de proportionnalité.</w:t>
      </w:r>
    </w:p>
    <w:p>
      <w:r>
        <w:t>b. De jurisprudence constante, développée pour le licenciement des fonctionnaires, une décision de licenciement doit respecter le principe de la proportionnalité (art. 5 Cst.). L'autorité doit apprécier les actes ou les manquements reprochés à l'intéressé en les situant dans leur contexte, c'est-à-dire en tenant compte d'éventuelles circonstances atténuantes (ATA/621/2007 du 4 décembre 2007, consid. 8 ; ATA/353/2006 du 20 juin 2006, consid. 6, et les arrêts cités). S’agissant du licenciement d’un employé en période probatoire, il faut toutefois prendre en compte, dans l’analyse du respect du principe de la proportionnalité, que l’article 21 alinéa 1 LPAC ne pose pas de condition au prononcé d’un licenciement.</w:t>
      </w:r>
    </w:p>
    <w:p>
      <w:r>
        <w:t>En l’espèce, Mme X_______ aurait souhaité que la structure dans laquelle elle était employée évolue afin qu’elle n’ait plus à travailler sous les ordres directs du secrétaire général du Pouvoir judiciaire. Entendue à titre de témoin, Mme L_______ a toutefois exposé que Mme X_______ n’était pas prête à entendre le point de vue et la position de M. Mahler, alors que ce dernier faisait des efforts pour comprendre le sien et était ouvert à la discussion. Par ailleurs, il appert que la recourante, contrairement à ce qui était attendu, n’a jamais fait de proposition concrète et réaliste pour aménager son poste. Dans ces circonstances, et au vu des problèmes constatés, la décision de licenciement ne viole pas le principe de proportionnalité. Le Pouvoir judiciaire a effet tenté, avant de licencier Mme X_______, de préparer son retour à sa place de travail, comme le démontre le premier entretien effectué au début du mois de mars 2007 en présences de Mmes X_______, Y_______, L_______ et M. Mahler. 8. a. La recourante soutient enfin que son licenciement est contraire au principe de la bonne foi au motif qu’elle n’a jamais été mise en garde contre les problèmes qui découlaient de son attitude.</w:t>
      </w:r>
    </w:p>
    <w:p>
      <w:r>
        <w:t>b. Ancré à l’article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w:t>
      </w:r>
    </w:p>
    <w:p>
      <w:r>
        <w:t>- 18/20 - A/2072/2007 (Arrêt TF du 22 juin 2006, SJ 2007 I 41, consid. 6.1 et les références citées).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 du Tribunal fédéral 4A9/1999 du 18 avril 2000, consid 3a ; ATF 121 II 473, consid. 2c p. 479 et références).</w:t>
      </w:r>
    </w:p>
    <w:p>
      <w:r>
        <w:t>En l’occurrence, Mme X_______ n’a jamais reçu une assurance quelconque, de quelque autorité que ce soit, de voir ses rapports de travail subsister. La simple absence de critique ne lui permettait pas non plus de subodorer que le maintien de son travail était garanti.</w:t>
      </w:r>
    </w:p>
    <w:p>
      <w:r>
        <w:t>c. La décision de licenciement du 23 avril 2007 ne viole donc pas le principe de la bonne foi. 9.</w:t>
      </w:r>
    </w:p>
    <w:p>
      <w:r>
        <w:t>Le licenciement étant conforme au droit, les conclusions de la recourante relatives au versement d’une indemnité et de dommages et intérêts doivent être rejetées. 10.</w:t>
      </w:r>
    </w:p>
    <w:p>
      <w:r>
        <w:t>Au vu de ce qui précède, le recours sera rejeté. Vu l’issue du litige, un émolument de CHF 1'000.- sera mis à la charge de la recourante, qui succombe (art. 87 LPA). L’office du personnel de l’Etat, qui n’expose pas avoir encouru de frais particuliers, n’a pas droit à des dépens (art. 87 LPA ; ATA/3596/2007 du 27 mai 2008).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