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ATA/342/2015 vom 14. April 2015</w:t>
      </w:r>
    </w:p>
    <w:p>
      <w:r>
        <w:t>GE Cour de justice, 2015-04-14, FR</w:t>
      </w:r>
    </w:p>
    <w:p>
      <w:r>
        <w:rPr>
          <w:b/>
        </w:rPr>
        <w:t xml:space="preserve">Quelle: </w:t>
      </w:r>
      <w:r>
        <w:t>https://mcp.opencaselaw.ch/entscheid/ge_gerichte_ATA_342_2015</w:t>
      </w:r>
    </w:p>
    <w:p>
      <w:r>
        <w:t>FR: GE_GERICHTE ATA/342/2015 du 14 avril 2015</w:t>
      </w:r>
    </w:p>
    <w:p>
      <w:r>
        <w:t>IT: GE_GERICHTE ATA/342/2015 del 14 aprile 2015</w:t>
      </w:r>
    </w:p>
    <w:p>
      <w:pPr>
        <w:pStyle w:val="Heading2"/>
      </w:pPr>
      <w:r>
        <w:t>Regeste</w:t>
      </w:r>
    </w:p>
    <w:p>
      <w:r>
        <w:t>Résumé: Recours contre un jugement du TAPI confirmant la qualification de revenu de certaines entrées de fonds sur les comptes de la recourante durant les années fiscales 2001 à 2003, 2005 et 2006. L'autorité intimée ayant établi l'existence de versements et virements sur ses comptes, il revenait à la recourante de réfuter avoir vu son patrimoine augmenter. Après examen des éléments concernant les entrées de fonds litigieuses, recours partiellement admis.</w:t>
      </w:r>
    </w:p>
    <w:p>
      <w:pPr>
        <w:pStyle w:val="Heading2"/>
      </w:pPr>
      <w:r>
        <w:t>Erwägungen</w:t>
      </w:r>
    </w:p>
    <w:p>
      <w:r>
        <w:rPr>
          <w:b/>
        </w:rPr>
        <w:t>E. 13</w:t>
      </w:r>
    </w:p>
    <w:p>
      <w:r>
        <w:t>mars 2012 consid. 2 ; ATA/294/2009 du 16 juin 2009 consid. 6 ; ATA/118/2006 du 7 mars 2006 consid. 2 ; ATA/19/2006 du 17 janvier 2006 consid. 1).</w:t>
      </w:r>
    </w:p>
    <w:p>
      <w:r>
        <w:t>c. La nouveauté d'une conclusion s'apprécie par rapport à l'objet du litige, correspondant à l'objet de la décision attaquée, qui est déterminé par les conclusions (ATF 136 V 362 consid. 3.4 et 4.2 p. 365 et 367 ; arrêt du Tribunal fédéral 2C_581/2010 du 28 mars 2011 consid. 1.5 ; ATA/18/2013 du 8 janvier 2013 consid. 10). N'est donc pas nouvelle une conclusion du recourant n'allant pas, dans son résultat, au-delà de ce qui a été sollicité auparavant ou ne demandant pas autre chose (arrêts du Tribunal fédéral 2C_77/2013 du 6 mai 2013 consid. 1.3 ; 8C_811/2012 du 4 mars 2013 consid. 4).</w:t>
      </w:r>
    </w:p>
    <w:p>
      <w:r>
        <w:t>d. Il ressort des art. 36 al. 2 de la loi de procédure fiscale du 4 octobre 2001 (LPFisc - D 3 17) et 131 al. 1 1ère phrase LIFD que le dispositif d'une décision fiscale, qui règle le rapport juridique comme tel (ATF 136 V 268 consid. 4.5 p. 277), comprend les éléments imposables - revenu imposable, fortune imposable -, le taux de l'impôt et les montants d'impôt (ATA/959/2014 précité consid. 11c ; ATA/751/2013 du 12 novembre 2013 consid. 7 et les références citées). Par conclusion en droit fiscal, il faut comprendre une détermination chiffrée ou pour le moins une indication de laquelle il ressort clairement de quelle manière le recourant entend faire modifier la décision attaquée (ATA/959/2014 précité consid. 11c ; ATA/751/2013 précité consid. 7 et les références citées).</w:t>
      </w:r>
    </w:p>
    <w:p>
      <w:r>
        <w:t>e. En l’espèce, dans son acte de recours, la recourante a conclu à la nullité des bordereaux de rappel d’impôt et de taxation ordinaire litigieux en contestant uniquement trois points du jugement du TAPI attaqué, soit le refus de ce dernier d’annuler, premièrement, les reprises relatives à des montants crédités expliqués et non imposables en présence du domicile commun de la recourante avec son compagnon, deuxièmement, celles concernant des sommes créditées trouvant leur explications dans des versements de son ex-mari et, finalement, celle effectuée en lien avec le montant crédité provenant de K______, qui avait fait l’objet d’une sortie identique.</w:t>
      </w:r>
    </w:p>
    <w:p>
      <w:r>
        <w:t>Or, en comparant les reprises mentionnées dans ses écritures du 6 mars 2015 avec les explications fournies par la recourante, pour chaque reprise contestée,</w:t>
      </w:r>
    </w:p>
    <w:p>
      <w:r>
        <w:t>- 26/35 - A/1035/2012 dans sa réclamation du 22 octobre 2011, il apparaît que certaines d’entre elles ne concernent aucun des trois points contestés dans son acte de recours devant la chambre administrative. Il en va ainsi des versements de CHF 24'000.- du 28 juin 2001, CHF 20'000.- du 12 juin 2002, CHF 7'000.- du 26 septembre 2002, CHF 4'000.- du 25 octobre 2002, CHF 4'000.- du 18 novembre 2002, CHF 7'400.- du 18 février 2003, CHF 25'000.- du 10 avril 2003, CHF 4'000.- du 1er mai 2003, CHF 2'000.- du 9 mai 2003, CHF 14'000.- du 16 juin 2003, CHF 80'000.- du 19 octobre 2005, CHF 45’000.- du 16 janvier 2006, CHF 20'000.- du</w:t>
      </w:r>
    </w:p>
    <w:p>
      <w:r>
        <w:rPr>
          <w:b/>
        </w:rPr>
        <w:t>E. 14</w:t>
      </w:r>
    </w:p>
    <w:p>
      <w:r>
        <w:t>mars 2006, CHF 6'000.- du 24 mars 2006, CHF 37'000.- du 31 mars 2006, CHF 30'000.- du 9 août 2006 et CHF 50'000.- du 26 octobre 2006. Sans relation avec les points contestés dans l’acte recours complété, ces conclusions ont par conséquent uniquement été formulées le 6 mars 2015, de sorte qu’elles sont tardives.</w:t>
      </w:r>
    </w:p>
    <w:p>
      <w:r>
        <w:t>Par ailleurs, la recourante n’a jamais allégué, tout au long de la procédure administrative, pas même dans sa réclamation, que les versements de CHF 4'800.- du 11 février 2002, CHF 9'000.- du 16 juin 2003, CHF 50'000.- du 8 décembre 2003 et CHF 40'000.- du 30 mai 2006 seraient liés à MM. C______ ou A______. Par ailleurs, aucun lien entre ces personnes et ces versements ne ressort du dossier. Dans ces circonstances, les conclusions relatives à la reprise de ces sommes, également formulées au stade de ses écritures après enquêtes du 6 mars 2015, vont au-delà des points contestés par la recourante dans son acte de recours, de sorte qu’elles sont elles aussi tardives.</w:t>
      </w:r>
    </w:p>
    <w:p>
      <w:r>
        <w:t>Au vu de ce qui précède, les conclusions relatives à la reprise de ces vingt et un versements, tardives, seront déclarées irrecevables. 3.3) Le litige porte dès lors uniquement sur la conformité au droit des reprises des versements de CHF 14'000.- et CHF 10'000.- des 19 août et 10 octobre 2001, des crédits de M. C______ de CHF 20'000.-, CHF 25'000.- et CHF 75'000.- des</w:t>
      </w:r>
    </w:p>
    <w:p>
      <w:r>
        <w:rPr>
          <w:b/>
        </w:rPr>
        <w:t>E. 19</w:t>
      </w:r>
    </w:p>
    <w:p>
      <w:r>
        <w:t>janvier 2003, CHF 9'400.- du 24 mars 2003, CHF 7'000.- du 11 février 2005, CHF 8’000.- du 14 juin 2005, CHF 7'000.- du 1er juillet 2006, la recourante a indiqué qu’ils proviendraient « très vraisemblablement », « très certainement » ou « de toute évidence » de différents prélèvements de sommes similaires effectués par M. A______ sur le compte de son bureau le même jour ou dans les jours précédant chaque versement. Elle a à cet égard produit des documents démontrant que son compagnon avait procédé à de tels prélèvements. Concernant le</w:t>
      </w:r>
    </w:p>
    <w:p>
      <w:r>
        <w:t>- 30/35 - A/1035/2012 versement de CHF 25'000.- du 5 juin 2002, lequel aurait fait suite à un prélèvement de M. A______ de CHF 22'000.-, la différence de CHF 3'000.- soit proviendrait de ce dernier, soit aurait déjà été en sa possession suite à prélèvement antérieur. Elle a par ailleurs expliqué ne pas avoir retrouvé l’origine du versement de CHF 15'000.- du 3 février 2006, mais qu’il se serait « très probablement » agi d’une contribution de son compagnon à leur ménage. L’argumentation de la recourante démontre qu’elle n’a elle-même aucune certitude quant à la provenance de ces versements, avouant par là-même ne pas être en mesure d’en établir l’origine et donc de réfuter l’accroissement de son patrimoine et leur qualification de revenu imposable. Il importe donc peu qu’elle ait vécu ou non en ménage commun avec M. A______ durant les périodes fiscales litigieuses. Par surabondance, la recourante n’indique précisément pour aucun de ces montants à quel titre son compagnon les lui aurait versés.</w:t>
      </w:r>
    </w:p>
    <w:p>
      <w:r>
        <w:t>Le grief de la recourante sera donc écarté quant à ces onze versements. 10.10)</w:t>
      </w:r>
    </w:p>
    <w:p>
      <w:r>
        <w:t>La recourante soutient ensuite que les montants versés par son ex-mari de CHF 20'000.- du 19 février 2001, CHF 25'000.- du 3 mai 2001, CHF 75'000.- du 27 juin 2001, CHF 10'000.- du 20 mars 2002, CHF 10'000.- du 3 avril 2002, CHF 10'000.- du 5 août 2002, CHF 10'000.- du 6 septembre 2002, CHF 15'656.- du 31 mars 2003, CHF 10'000.- du 24 juin 2003 et CHF 10'000.- du 27 octobre 2003 auraient constitué des avances de frais pour des dépenses ou des prêts, voire des donations, mais en aucun cas des revenus.</w:t>
      </w:r>
    </w:p>
    <w:p>
      <w:r>
        <w:t>Ses allégations ne sont toutefois étayées par aucune pièce. La recourante n’a en effet pas été en mesure de produire ne serait-ce même qu’un seul reçu ou relevé de paiements effectués, par exemple, par carte de débit ou de crédit, démontrant des dépenses effectuées pour son ex-époux. Les déclarations de M. C______ et Mme Z______ ne permettent par ailleurs pas de corroborer ces allégations à satisfaction. Il ressort en effet des propos de M. C______ que la majorité des montants versés en tant que dons ou remboursements de dettes lui avaient été transmis en espèces, dans la boîte à gants de sa voiture, un jeu de backgammon, un livre ou une enveloppe, et non par transferts bancaires. Or, les montants ayant fait l’objet de reprises litigieuses correspondent à des virements bancaires et non à des versements, ceci pour un total de près de CHF 200'000.- en trois ans. Il ressort en outre des explications tant de M. C______ que de Mme Z______ que, contrairement à ses allégations, la recourante ne rendait pas uniquement service à son ex-époux dans le cadre de la vie privée de ce dernier, puisqu’elle le faisait également lorsqu’il recevait de « grands messieurs du AJ______ » ou un « homme d’affaire AL______ », notamment en les accompagnant dîner ou en faisant les boutiques avec leurs épouses. Il apparaît également qu’elle a exercé une activité d’une certaine importance pour son ex-mari, notamment en s’occupant de l’administration de son appartement genevois et en particulier de la vente de ce dernier, lui permettant de bénéficier de bonnes conditions. Par ailleurs, Formatted: Bullets and Numbering</w:t>
      </w:r>
    </w:p>
    <w:p>
      <w:r>
        <w:t>- 31/35 - A/1035/2012 M. C______ a dans une certaine mesure admis lui verser de l’argent en tant que contre-prestation des services rendus, puisqu’il a déclaré être conscient de lui donner beaucoup plus que dû comme contre-prestation, mais gagner beaucoup d’argent à l’époque et être très reconnaissant des services rendus. Finalement, s’il ressort des déclarations de M. C______ qu’une certaine partie des versements constituaient des remboursements de dépenses effectuées par la recourante, on ignore quelles sont les dépenses en cause et quels en sont les montants. Au demeurant, ces dépenses ont à tout le moins été couvertes par les versements opérés par M. C______ en espèces, majoritairement, et il est notamment relevé que ce n’est pas la recourante, mais son ex-époux qui payait les additions au restaurant.</w:t>
      </w:r>
    </w:p>
    <w:p>
      <w:r>
        <w:t>Dans ces circonstances, au vu de l’absence de pièces étayant les allégations de la recourante ainsi que des déclarations de M. C______ et Mme Z______, qui tendent à indiquer que la recourante exerçait une certaine activité pour son ex- époux, la chambre administrative retient que cette dernière n’a pas prouvé à satisfaction que les transferts en provenance de son ex-mari constituaient des prêts, des donations ou des avances de frais et non des revenus imposables. Le grief sera dès lors écarté. 11.11)</w:t>
      </w:r>
    </w:p>
    <w:p>
      <w:r>
        <w:t>La recourante reproche finalement au TAPI d’avoir confirmé que le montant de EUR 60'000.- provenant de K______ et crédité le 20 janvier 2015 correspondait à un revenu imposable. Elle aurait en effet uniquement rendu service à son compagnon en réceptionnant cette somme pour ensuite l’amener à l’ayant droit économique de la société durant un voyage privé à AG______.</w:t>
      </w:r>
    </w:p>
    <w:p>
      <w:r>
        <w:t>À l’appui de son allégation, la recourante a produit un relevé de compte démontrant que la somme de EUR 60'000.- avait été retirée le 25 janvier 2005, soit cinq jours après réception du transfert de K______ du même montant. Elle a également versé à la procédure une attestation de L______ du 3 avril 2012 confirmant que l’ayant droit économique des valeurs déposées pour K______, dont MM. A______ et V______ étaient signataires autorisés, était de nationalité Y______ et domiciliée en Y______. Par ailleurs, lors de son audition, M. A______ a confirmé « être de K______ » et avoir demandé à sa compagne de lui rendre service en remettant, lors d’un voyage privé à AG______, la somme à l’ayant droit économique, ressortissante Y______ dont elle avait auparavant fait la connaissance à Genève. Finalement, M. V______ a expliqué que la recourante n’avait aucun lien avec K______, dont M. A______ était le conseiller et pour laquelle il avait la signature, que le montant transféré appartenait et était destiné à une autre personne, sans concerner la recourante, et qu’il était ressorti en espèces pour être redonné à la propriétaire bénéficiaire, sans que Mme A______ ne perçoive de rémunération.</w:t>
      </w:r>
    </w:p>
    <w:p>
      <w:r>
        <w:t>Au regard des éléments qui précèdent, la chambre administrative retient que la recourante a établi l’origine et la destination de la somme de EUR 60'000.- Formatted: Bullets and Numbering</w:t>
      </w:r>
    </w:p>
    <w:p>
      <w:r>
        <w:t>- 32/35 - A/1035/2012 transférée par K______ sur son troisième compte L______ le 20 janvier 2005, prouvant que cette somme était ressortie de son compte pour être remise à l’ayant droit économique de la société et n’était donc pas venue augmenter le patrimoine de la contribuable. Cette dernière a dès lors établi l’absence d’accroissement de son patrimoine, de sorte qu’il n’est en tout état de cause pas nécessaire d’examiner la question de l’existence d’un contrat de fiducie. Il ne s’agit dès lors pas d’un revenu imposable, de sorte que le grief sera admis. 12) Dans ces circonstances, les reprises de CHF 5'000.- du 1er mars 2002, CHF 7’000.- du 9 avril 2002, CHF 20'000.- du 17 septembre 2003, CHF 1'250.- du 30 décembre 2002 et EUR 60'000.- du 20 janvier 2005 effectuées par l’AFC-GE et confirmées par le TAPI seront annulées. 13) L’autorité a infligé une amende ICC et une amende IFD pour les années 2001 à 2003 et 2006 à la recourante, toutes deux fixées aux 75 % de l’impôt éludé.</w:t>
      </w:r>
    </w:p>
    <w:p>
      <w:r>
        <w:t>a. Le contribuable qui, intentionnellement ou par négligence, fait en sorte qu'une taxation ne soit pas effectuée alors qu'elle devrait l'être, ou qu'une taxation entrée en force soit incomplète, est puni d'une amende (art. 175 al. 1 LIFD ; art. 56 al. 1 de la loi fédérale sur l’harmonisation des impôts directs des cantons et des communes du 14 décembre 1990 - LHID - RS 642.14 ; art. 69 al. 1 LPFisc). En règle générale, l'amende est fixée au montant de l'impôt soustrait. Si la faute est légère, l'amende peut être réduite jusqu'au tiers de ce montant. Si la faute est grave, elle peut au plus être triplée (art. 175 al. 2 LIFD ; art. 56 al. 2 LHID et art. 69 al. 2 LPFisc).</w:t>
      </w:r>
    </w:p>
    <w:p>
      <w:r>
        <w:t>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p. 31 ; arrêts du Tribunal fédéral 2C_1007/2012 du 15 mars 2013 consid. 5.2 ; 2C_480/2009 précité consid. 6.2) et l'autorité de recours ne censure que l'abus du pouvoir d'appréciation (ATA/42/2011 du 25 janvier 2011 consid. 6 ; ATA/693/2009 du 22 décembre 2009 consid. 10a ; ATA/410/2007 du 28 août 2007 consid. 20). Ces autorités doivent, dans le respect du principe de la proportionnalité, faire preuve de sévérité afin d’assurer le respect de la loi (ATA/18/2013 du 8 janvier 2013).</w:t>
      </w:r>
    </w:p>
    <w:p>
      <w:r>
        <w:t>- 33/35 - A/1035/2012</w:t>
      </w:r>
    </w:p>
    <w:p>
      <w:r>
        <w:t>c. En l’espèce, la recourante ne conteste plus devant la chambre administrative la quotité des deux amendes infligées par l’autorité intimée.</w:t>
      </w:r>
    </w:p>
    <w:p>
      <w:r>
        <w:t>Toutefois, au vu de l’annulation des reprises de CHF 5'000.- du 1er mars 2002, CHF 7’000.- du 9 avril 2002, CHF 20'000.- du 17 septembre 2003 et CHF 1'250.- du 30 décembre 2002, les amendes devront être adaptées après détermination des nouveaux montants de l’impôt soustrait et donc nouvelles taxations en rappel d’impôt ICC et IFD 2002 et 2003.</w:t>
      </w:r>
    </w:p>
    <w:p>
      <w:r>
        <w:t>Les bordereaux d’amende ICC et IFD 2001 à 2003 et 2006 seront dès lors annulés. 14) Dans ces circonstances, le recours sera partiellement admis. Le jugement du TAPI sera annulé en tant qu’il confirme les reprises de CHF 5'000.- du 1er mars 2002, CHF 7’000.- du 9 avril 2002, CHF 20'000.- du 17 septembre 2003, CHF 1'250.- du 30 décembre 2002 et EUR 60'000.- du 20 janvier 2005 ainsi que les amendes ICC et IFD 2001 à 2003 et 2006. Les décisions sur réclamation du 28 février 2012 seront annulées dans la même mesure. Les bordereaux de taxation en rappel d’impôt ICC et IFD 2002 et 2003 et ordinaire ICC et IFD 2005 ainsi que les bordereaux d’amende ICC et IFD 2001 à 2003 et 2006 seront annulés. Pour le surplus, le jugement du 24 février 2014, les décisions sur réclamation du 28 février 2012 ainsi que les bordereaux de taxation litigieux seront confirmés. Le dossier sera renvoyé à l’AFC-GE pour nouvelles décisions de taxation en rappel d’impôt ICC et IFD 2002 et 2003 et ordinaire ICC et IFD 2005 sans reprise des versements de CHF 5'000.- du 1er mars 2002, CHF 7’000.- du 9 avril 2002, CHF 20'000.- du 17 septembre 2003, CHF 1'250.- du 30 décembre 2002 et EUR 60'000.- du 20 janvier 2005 et pour nouveaux bordereaux d’amende ICC et IFD 2001 à 2003 et 2006. 15) Vu l’issue du litige, un émolument réduit, de CHF 1'500.-, sera mis à la charge de la recourante, qui n’obtient que partiellement gain de cause (art. 144 al. 1 par analogie et 145 al. 2 LIFD ; art. 87 al. 1 LPA). Une indemnité de procédure de CHF 800.- lui sera allouée, à la charge de l’État de Genève (art. 64 al. 1 par analogie de la loi fédérale sur la procédure administrative du</w:t>
      </w:r>
    </w:p>
    <w:p>
      <w:r>
        <w:rPr>
          <w:b/>
        </w:rPr>
        <w:t>E. 20</w:t>
      </w:r>
    </w:p>
    <w:p>
      <w:r>
        <w:t>décembre 1968 - PA - RS 172.021 ; art. 144 al. 4 par analogie et 145 al. 2 LIFD ; art. 87 al. 2 LPA ).</w:t>
      </w:r>
    </w:p>
    <w:p>
      <w:r>
        <w:t>* * * * *</w:t>
      </w:r>
    </w:p>
    <w:p>
      <w:r>
        <w:t>- 34/35 - A/1035/2012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