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ATA/341/2007 vom 6. Juli 2007</w:t>
      </w:r>
    </w:p>
    <w:p>
      <w:r>
        <w:t>GE Cour de justice, 2007-07-06, FR</w:t>
      </w:r>
    </w:p>
    <w:p>
      <w:r>
        <w:rPr>
          <w:b/>
        </w:rPr>
        <w:t xml:space="preserve">Quelle: </w:t>
      </w:r>
      <w:r>
        <w:t>https://mcp.opencaselaw.ch/entscheid/ge_gerichte_ATA_341_2007</w:t>
      </w:r>
    </w:p>
    <w:p>
      <w:r>
        <w:t>FR: GE_GERICHTE ATA/341/2007 du 6 juillet 2007</w:t>
      </w:r>
    </w:p>
    <w:p>
      <w:r>
        <w:t>IT: GE_GERICHTE ATA/341/2007 del 6 luglio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Il l’est également au regard des articles 13 alinéa</w:t>
      </w:r>
    </w:p>
    <w:p>
      <w:r>
        <w:rPr>
          <w:b/>
        </w:rPr>
        <w:t>E. 3</w:t>
      </w:r>
    </w:p>
    <w:p>
      <w:r>
        <w:t>a. Le principe de la proportionnalité, figurant à l’article 36 alinéa 3 de la Constitution fédérale de la Confédération suisse du 18 avril 1999 (Cst. - RS 101), gouverne toute action étatique.</w:t>
      </w:r>
    </w:p>
    <w:p>
      <w:r>
        <w:t>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(Arrêt du Tribunal fédéral 1P. 269/2001 du 7 juin 2001 consid. 2c ; ATF 125 I 474 consid. 3 p. 482 ; ATA/322/2005 du 28 avril 2005).</w:t>
      </w:r>
    </w:p>
    <w:p>
      <w:r>
        <w:t>b. Dans le cas particulier, le Tribunal administratif retiendra que si le trafic de drogue reproché au recourant est certes faible, les réitérations sont nombreuses.</w:t>
      </w:r>
    </w:p>
    <w:p>
      <w:r>
        <w:t>Le recourant n’a aucune attache à Genève et toute sa famille se trouve en Algérie. Il n’a donc aucune raison de venir sur le territoire du canton de Genève de sorte que l’interdiction de résidence dans tout le canton est justifiée et respecte le principe de proportionnalité.</w:t>
      </w:r>
    </w:p>
    <w:p>
      <w:r>
        <w:t>- 5/6 - A/2557/2007</w:t>
      </w:r>
    </w:p>
    <w:p>
      <w:r>
        <w:t>Par ailleurs, les motifs invoqués par le recourant pour rester à Genève, soit essentiellement le fait qu’il puisse bénéficier des avantages offerts par le "Bateau de Genève" et des institutions sociales implantées dans le périmètre de la rue G______, ne constituent pas un intérêt digne de protection justifiant l’annulation ou la réduction de la durée de ladite mesure.</w:t>
      </w:r>
    </w:p>
    <w:p>
      <w:r>
        <w:rPr>
          <w:b/>
        </w:rPr>
        <w:t>E. 4</w:t>
      </w:r>
    </w:p>
    <w:p>
      <w:r>
        <w:t>Le recours sera rejeté.</w:t>
      </w:r>
    </w:p>
    <w:p>
      <w:r>
        <w:t>Vu la situation financière du recourant, il ne sera pas perçu d’émolument.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