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ATA/340/2012 vom 5. Juni 2012</w:t>
      </w:r>
    </w:p>
    <w:p>
      <w:r>
        <w:t>GE Cour de justice, 2012-06-05, FR</w:t>
      </w:r>
    </w:p>
    <w:p>
      <w:r>
        <w:rPr>
          <w:b/>
        </w:rPr>
        <w:t xml:space="preserve">Quelle: </w:t>
      </w:r>
      <w:r>
        <w:t>https://mcp.opencaselaw.ch/entscheid/ge_gerichte_ATA_340_2012</w:t>
      </w:r>
    </w:p>
    <w:p>
      <w:r>
        <w:t>FR: GE_GERICHTE ATA/340/2012 du 5 juin 2012</w:t>
      </w:r>
    </w:p>
    <w:p>
      <w:r>
        <w:t>IT: GE_GERICHTE ATA/340/2012 del 5 giugno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aLOJ ; art. 63 al. 1 let. a de la loi sur la procédure administrative du 12 septembre 1985 - LPA - E 5 10, dans sa teneur au 31 décembre 2010).</w:t>
      </w:r>
    </w:p>
    <w:p>
      <w:r>
        <w:rPr>
          <w:b/>
        </w:rPr>
        <w:t>E. 3</w:t>
      </w:r>
    </w:p>
    <w:p>
      <w:r>
        <w:t>a. Les délais de réclamation et de recours fixés par la loi sont des dispositions impératives de droit public. Ils ne sont, en principe, pas susceptibles d’être prolongés (art. 16 al. 1, 1ère phr. LPA), restitués ou suspendus, si ce n’est par le législateur lui-même (ATA/515/2009 du 13 octobre 2009 consid. 4 ; ATA/266/2009 du 26 mai 2009 consid. 2). Ainsi, celui qui n’agit pas dans le délai prescrit est forclos et la décision en cause acquiert force obligatoire (ATA/712/2010 du 19 octobre 2010 et les références citées).</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(ATA/177/2011 du 15 mars 2011 ; ATA/515/2009 du 13 octobre 2009 ;</w:t>
      </w:r>
    </w:p>
    <w:p>
      <w:r>
        <w:t>- 4/6 - A/3431/2008 ATA/255/2009 du 19 mai 2009 ; ATA/50/2009 du 27 janvier 2009), la charge de leur preuve incombant à la partie qui s’en prévaut.</w:t>
      </w:r>
    </w:p>
    <w:p>
      <w:r>
        <w:t>b. Les délais commencent à courir le lendemain de leur communication ou de l’événement qui les déclenche (art. 17 al. 1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Ces principes généraux sont repris par l'art. 41 de la loi de procédure fiscale, du 4 octobre 2001 (LPFisc - RS D 3 17) pour l'ICC et l'art. 133 de la loi fédérale sur l’impôt fédéral direct du 14 décembre 1990 (LIFD - RS 642.11) pour l'IFD, qui précisent que le délai de réclamation est de 30 jours dès la notification de la décision.</w:t>
      </w:r>
    </w:p>
    <w:p>
      <w:r>
        <w:t>En l'espèce, la contribuable ne conteste pas que sa réclamation a été faite hors le délai impératif susmentionné. Elle ne peut par ailleurs se prévaloir d'aucun cas de force majeur, le fait que son mandataire n'ait pas correctement accompli le mandat qui lui incombait n'en constituant pas un, les manquements de celui-là lui étant imputables (ATA/404/2005 du 7 juin 2005).</w:t>
      </w:r>
    </w:p>
    <w:p>
      <w:r>
        <w:rPr>
          <w:b/>
        </w:rPr>
        <w:t>E. 4</w:t>
      </w:r>
    </w:p>
    <w:p>
      <w:r>
        <w:t>a. Selon les art. 55 LPFisc et 140 LIFD une décision ou un prononcé entrés en force peuvent être révisés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w:t>
      </w:r>
    </w:p>
    <w:p>
      <w:r>
        <w:t>La révision est exclue lorsque le requérant a invoqué des motifs qu’il aurait déjà pu faire valoir au cours de la procédure ordinaire s’il avait fait preuve de toute la diligence qui pouvait raisonnablement être exigée de lui</w:t>
      </w:r>
    </w:p>
    <w:p>
      <w:r>
        <w:t>b. Constituent des faits nouveaux des faits qui se sont produits antérieurement à la procédure précédente, mais dont l’auteur de la demande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w:t>
      </w:r>
    </w:p>
    <w:p>
      <w:r>
        <w:t>En l'espèce, les conditions de la révision ne sont pas remplies, les simples manquements allégués du mandataire de la recourante ne constituant aucune des hypothèses visées par la loi.</w:t>
      </w:r>
    </w:p>
    <w:p>
      <w:r>
        <w:rPr>
          <w:b/>
        </w:rPr>
        <w:t>E. 5</w:t>
      </w:r>
    </w:p>
    <w:p>
      <w:r>
        <w:t>Au vu de ce qui précède, le recours sera rejeté.</w:t>
      </w:r>
    </w:p>
    <w:p>
      <w:r>
        <w:t>- 5/6 - A/3431/2008</w:t>
      </w:r>
    </w:p>
    <w:p>
      <w:r>
        <w:t>Vu l'issue du litige, un émolument de CHF 1’000.-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