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ATA/339/2014 vom 13. Mai 2014</w:t>
      </w:r>
    </w:p>
    <w:p>
      <w:r>
        <w:t>GE Cour de justice, 2014-05-13, FR</w:t>
      </w:r>
    </w:p>
    <w:p>
      <w:r>
        <w:rPr>
          <w:b/>
        </w:rPr>
        <w:t xml:space="preserve">Quelle: </w:t>
      </w:r>
      <w:r>
        <w:t>https://mcp.opencaselaw.ch/entscheid/ge_gerichte_ATA_339_2014</w:t>
      </w:r>
    </w:p>
    <w:p>
      <w:r>
        <w:t>FR: GE_GERICHTE ATA/339/2014 du 13 mai 2014</w:t>
      </w:r>
    </w:p>
    <w:p>
      <w:r>
        <w:t>IT: GE_GERICHTE ATA/339/2014 del 13 maggio 2014</w:t>
      </w:r>
    </w:p>
    <w:p>
      <w:pPr>
        <w:pStyle w:val="Heading2"/>
      </w:pPr>
      <w:r>
        <w:t>Regeste</w:t>
      </w:r>
    </w:p>
    <w:p>
      <w:r>
        <w:t>Résumé: La taxe professionnelle communale peut être calculée sur la base d'une période fiscale comportant des revenus extraordinaires. En effet, la taxe est recalculée (et donc adaptée à la réalité des entreprises) tous les deux ans. Au demeurant, le recourant n'a pas démontré dans le cas d'espèce en quoi le revenu pris en compte pour le calcul de la taxe professionnelle communale était extraordinaire et ne reflétait pas sa réelle capacité contributive.</w:t>
      </w:r>
    </w:p>
    <w:p>
      <w:pPr>
        <w:pStyle w:val="Heading2"/>
      </w:pPr>
      <w:r>
        <w:t>Erwägungen</w:t>
      </w:r>
    </w:p>
    <w:p>
      <w:r>
        <w:rPr>
          <w:b/>
        </w:rPr>
        <w:t>E. 12</w:t>
      </w:r>
    </w:p>
    <w:p>
      <w:r>
        <w:t>septembre 1985 - LPA - E 5 10). 2)</w:t>
      </w:r>
    </w:p>
    <w:p>
      <w:r>
        <w:t>Le litige porte sur la question de la prise en compte du produit réalisé par la recourante en 2009, dans la période de calcul de la TPC. 3)</w:t>
      </w:r>
    </w:p>
    <w:p>
      <w:r>
        <w:t>La taxe professionnelle communale a la nature juridique d’un impôt (Arrêt du Tribunal fédéral 2P.241/2003 du 3 novembre 2004 consid 2.3 et les références citées ; ATA/285/2012 du 8 mai 2012). Elle fait l’objet du titre III de la LCP (art. 301 ss).</w:t>
      </w:r>
    </w:p>
    <w:p>
      <w:r>
        <w:t>Selon le Mémorial du Grand Conseil, elle est une contribution aux dépenses de la collectivité qui est exigée de toute personne qui exerce une activité lucrative indépendante ou exploite une entreprise commerciale sur le territoire de la commune, quel que soit le bénéfice réalisé, et même en l’absence de tout bénéfice. Ne visant pas à imposer le revenu net, la taxe professionnelle doit toutefois être proportionnée à la dimension des entreprises assujetties. C’est pourquoi il a fallu mettre sur pied tout un système permettant de déterminer l’importance relative des entreprises entre elles (MGC 1969/I p. 658). 4)</w:t>
      </w:r>
    </w:p>
    <w:p>
      <w:r>
        <w:t>En tant qu’impôt, la TPC doit respecter les principes régissant l’imposition, notamment les principes de l’universalité, de l’égalité de traitement et de la</w:t>
      </w:r>
    </w:p>
    <w:p>
      <w:r>
        <w:t>- 6/10 - A/652/2012 capacité économique (art. 127 al. 2 de la Constitution fédérale de la Confédération suisse du 18 avril 1999 - Cst. - RS 101).</w:t>
      </w:r>
    </w:p>
    <w:p>
      <w:r>
        <w:t>Dans un arrêt du 27 novembre 2009, le Tribunal fédéral a rappelé que le principe de la capacité économique (ou contributive) peut être associé à celui de l’imposition du bénéfice total (Totalgewinn) ou à celui de périodicité. Dans le premier cas, la capacité contributive doit être mesurée sur une période aussi longue que possible, correspondant idéalement à toute la durée de l’exercice d’une activité indépendante, voire à toute l’existence du contribuable (…). En revanche, s’il est associé au principe de périodicité, ce principe constitutionnel veut que l’on mesure la capacité contributive lors de la période fiscale - plus exactement durant la période de calcul, qui se confond avec la période fiscale dans le système postnumerando - et que le contribuable soit imposé sur cette base (Arrêt du Tribunal fédéral 2C_33/2009 du 27 novembre 2009 consid 3.2).</w:t>
      </w:r>
    </w:p>
    <w:p>
      <w:r>
        <w:t>Le principe de périodicité repose sur la théorie de l’accroissement net du patrimoine, selon laquelle le revenu acquis par un contribuable se compose de tout accroissement de son patrimoine constaté au cours d’une période déterminée. Cette définition du revenu joue un rôle central en droit fiscal suisse, notamment pour l’imposition des entreprises astreintes à tenir une comptabilité. L’importance de la théorie de l’accroissement net du patrimoine s’explique précisément par le fait que le revenu doit servir de mesure de la capacité contributive (Arrêt du Tribunal fédéral 2C_33/2009 précité consid 3.3 et la jurisprudence et doctrine citées).</w:t>
      </w:r>
    </w:p>
    <w:p>
      <w:r>
        <w:t>En matière de TPC, le principe de la périodicité est ancré à l’art. 310 al. 1 LCP, selon lequel les périodes de taxation et de calcul sont de deux ans chacune. La période de calcul précède la période de taxation. La période de taxation comprend une année de révision et une année de reconduction (let. a). La taxe est établie en année de révision, sur la moyenne annuelle des éléments ressortant de la période de calcul. Elle est reconduite l’année suivante pour le même montant (let. b). Il ressort d’ailleurs du commentaire de cette disposition que c’est la volonté du législateur que de prendre en compte la capacité contributive des contribuables qui a motivé son adoption : « Depuis longtemps les commissions taxatrices de certaines communes ont constaté que le classement des contribuables devait être révisé périodiquement pour éviter des inégalités entre eux. C’est pourquoi les autorités de taxation de plusieurs communes envoient aux personnes assujetties à la taxe, tous les trois ou quatre ans, des formules de déclaration afin de pouvoir tenir compte des modifications qui surviennent dans la vie des entreprises. Ce système n’est toutefois pas sans inconvénient. En effet, bien souvent, l’autorité de taxation est amenée à fixer des taxes en se basant sur un exercice qui peut être exceptionnellement favorable ou défavorable. Ainsi, le contribuable se trouve soit avantagé, soit désavantagé jusqu’à la prochaine révision. En vue de corriger cet état de choses, les contribuables seront taxés tous</w:t>
      </w:r>
    </w:p>
    <w:p>
      <w:r>
        <w:t>- 7/10 - A/652/2012 les deux ans sur la base de la moyenne des éléments des deux années précédentes. Il résulte de cette décision que le nom même de la taxe doit être modifié et que dorénavant elle s’intitulera " taxe professionnelle " et non plus " taxe professionnelle fixe " » (MGC 1969/I p. 663). 5)</w:t>
      </w:r>
    </w:p>
    <w:p>
      <w:r>
        <w:t>La TPC est calculée sur la base de coefficients applicables aux chiffres annuels des affaires du contribuable, aux loyers annuels de tous les immeubles qu’il occupe professionnellement et à l’effectif annuel des personnes travaillant dans son entreprise (art. 302 LCP).</w:t>
      </w:r>
    </w:p>
    <w:p>
      <w:r>
        <w:t>S’agissant de la notion de « chiffre des affaires », elle est définie à l’art. 304 al. 1 LCP, aux termes duquel le chiffre des affaires du contribuable est la somme des prestations brutes qu’il a obtenues pour son propre compte et en son nom, en contrepartie de livraisons ou de mise à disposition de marchandises et de biens, ainsi que de services rendus. Sont notamment compris dans le chiffre des affaires (al. 2) :</w:t>
      </w:r>
    </w:p>
    <w:p>
      <w:r>
        <w:t>a) les prestations obtenues par le contribuable pour des travaux remis en sous-traitance. Est réservée la facturation directe par le sous-traitant aux clients ;</w:t>
      </w:r>
    </w:p>
    <w:p>
      <w:r>
        <w:t>b) la part de son chiffre d’affaires que le contribuable réalise dans un consortium ou une association temporaire ;</w:t>
      </w:r>
    </w:p>
    <w:p>
      <w:r>
        <w:t>c) le fermage que le contribuable reçoit lorsqu’une activité exercée dans des locaux lui appartenant est affermée ;</w:t>
      </w:r>
    </w:p>
    <w:p>
      <w:r>
        <w:t>d) lors de la cessation de l’activité du contribuable, les montants bruts provenant de la liquidation de ses stocks.</w:t>
      </w:r>
    </w:p>
    <w:p>
      <w:r>
        <w:t>En revanche, ne sont pas compris dans le chiffre des affaires, pour autant qu’ils ressortent clairement de la comptabilité (al. 3) :</w:t>
      </w:r>
    </w:p>
    <w:p>
      <w:r>
        <w:t>a) les rabais et escomptes accordés aux clients ;</w:t>
      </w:r>
    </w:p>
    <w:p>
      <w:r>
        <w:t>b) les impôts à la consommation, tels que la TVA, les taxes à l’importation sur les carburants et les combustibles, les impôts spéciaux sur les boissons et sur le tabac, ainsi que le droit des pauvres ;</w:t>
      </w:r>
    </w:p>
    <w:p>
      <w:r>
        <w:t>c) les droits de douane ;</w:t>
      </w:r>
    </w:p>
    <w:p>
      <w:r>
        <w:t>d) les émoluments administratifs, pour autant qu’ils constituent des frais directs d’exploitation ;</w:t>
      </w:r>
    </w:p>
    <w:p>
      <w:r>
        <w:t>e) les bénéfices en capital, sauf s’ils constituent le produit d’une activité lucrative, même accessoire ;</w:t>
      </w:r>
    </w:p>
    <w:p>
      <w:r>
        <w:t>f) le produit de la gestion de la fortune privée des personnes physiques ;</w:t>
      </w:r>
    </w:p>
    <w:p>
      <w:r>
        <w:t>- 8/10 - A/652/2012</w:t>
      </w:r>
    </w:p>
    <w:p>
      <w:r>
        <w:t>g) les commissions rétrocédées à des tiers, pour autant que le contribuable en fournisse la justification ;</w:t>
      </w:r>
    </w:p>
    <w:p>
      <w:r>
        <w:t>h) la valeur des produits consommés par le contribuable et ses employés ;</w:t>
      </w:r>
    </w:p>
    <w:p>
      <w:r>
        <w:t>i) les indemnités d’assurances, sauf celles qui sont acquises en relation avec l’activité lucrative ;</w:t>
      </w:r>
    </w:p>
    <w:p>
      <w:r>
        <w:t>j) le produit de la location non meublée de biens immobiliers. 6)</w:t>
      </w:r>
    </w:p>
    <w:p>
      <w:r>
        <w:t>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 c.aa ; Arrêts du Tribunal fédéral 2C_477/2009 du 8 janvier 2010 consid. 3.5 et 2C_199/2009 du 14 septembre 2009 consid. 3.1 ; ATA/294/2014 du 29 avril 2014 ; ATA/232/2014 du 8 avril 2014 ; ATA/532/2013 du 27 août 2013 et les références citées). 7)</w:t>
      </w:r>
    </w:p>
    <w:p>
      <w:r>
        <w:t>En l’espèce, il n’est pas contesté que le produit réalisé en 2009 par la recourante fait partie, quant à sa nature, de son chiffre des affaires. La recourante soutient en revanche que ce produit a été extraordinaire quant à son montant et qu’il ne reflète ainsi pas sa réelle capacité contributive. Il serait dès lors porté atteinte à sa capacité contributive s’il était tenu compte de ce produit dans son chiffre des affaires 2009, lequel fait partie de la période de calcul servant à la détermination des TPC 2009, 2010 et 2011.</w:t>
      </w:r>
    </w:p>
    <w:p>
      <w:r>
        <w:t>Il ressort du dossier que la recourante n’a à aucun stade de la procédure apporté la moindre preuve comparative de ses affirmations. Elle n’a notamment pas étayé ses dires à l’aide de pièces comptables ou d’avis de taxation ICC, comme elle aurait pu le faire. Bien au contraire, la recourante s’est contentée de soutenir que ce produit devait être extrait de son chiffre des affaires en application d’une jurisprudence qu’elle ne cite pas, faisant pour le surplus appel au bon sens. Cela étant, quand bien même la recourante apporterait la preuve du caractère exceptionnel de ce produit (ou non récurrent), il n’en demeure pas moins que son grief tombe à faux. En effet, comme cela ressort des travaux préparatoires relatifs à l’art. 310A LCP, le législateur a d’ores et déjà tenu compte du cas particulier de la recourante en prévoyant une révision de la TPC tous les deux ans. Certes, des inégalités peuvent encore subsister au gré des variations de revenus des contribuables, mais les écarts ont tout de même été considérablement réduits par l’introduction de cette disposition. 8)</w:t>
      </w:r>
    </w:p>
    <w:p>
      <w:r>
        <w:t>Mal fondé, le recours sera rejeté.</w:t>
      </w:r>
    </w:p>
    <w:p>
      <w:r>
        <w:t>- 9/10 - A/652/2012 9)</w:t>
      </w:r>
    </w:p>
    <w:p>
      <w:r>
        <w:t>Vu l’issue du recours, un émolument de CHF 1’500.- sera mis à la charge de la recourante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