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ATA/338/2020 vom 7. April 2020</w:t>
      </w:r>
    </w:p>
    <w:p>
      <w:r>
        <w:t>GE Cour de justice, 2020-04-07, FR</w:t>
      </w:r>
    </w:p>
    <w:p>
      <w:r>
        <w:rPr>
          <w:b/>
        </w:rPr>
        <w:t xml:space="preserve">Quelle: </w:t>
      </w:r>
      <w:r>
        <w:t>https://mcp.opencaselaw.ch/entscheid/ge_gerichte_ATA_338_2020</w:t>
      </w:r>
    </w:p>
    <w:p>
      <w:r>
        <w:t>FR: GE_GERICHTE ATA/338/2020 du 7 avril 2020</w:t>
      </w:r>
    </w:p>
    <w:p>
      <w:r>
        <w:t>IT: GE_GERICHTE ATA/338/2020 del 7 aprile 2020</w:t>
      </w:r>
    </w:p>
    <w:p>
      <w:pPr>
        <w:pStyle w:val="Heading2"/>
      </w:pPr>
      <w:r>
        <w:t>Regeste</w:t>
      </w:r>
    </w:p>
    <w:p>
      <w:r>
        <w:t>Résumé: Recours d’un ressortissant étranger contre le refus de l’office cantonal de la population et des migrations (OCPM) de reconsidérer une décision de refus de lui octroyer une autorisation de séjour en vue de mariage. Dès lors que le recourant avait été condamné en 2015 à une peine privative de liberté de quatre ans pour contrainte sexuelle et viol avec la circonstance aggravante de la commission en commun, l’intérêt public à le tenir éloigné prime ses intérêts privés, d’autant que tout risque de récidive ne peut être écarté. Recours rejeté.</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3)</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En l’espèce, la demande d’autorisation de séjour en vue de mariage a été déposée le 17 novembre 2016, de sorte que c’est l’ancien droit, soit la LEI dans sa teneur avant le 1er janvier 2019, qui s’applique. 4)</w:t>
      </w:r>
    </w:p>
    <w:p>
      <w:r>
        <w:t>Le litige porte sur la conformité au droit du refus par l’OCPM de reconsidérer sa décision du 11 mai 2016 et d’octroyer au recourant une autorisation de séjour en vue de son mariage. 5)</w:t>
      </w:r>
    </w:p>
    <w:p>
      <w:r>
        <w:t>Le prononcé d’une autorité à propos de la requête de reconsidération dont elle a été saisie étant une décision administrative, celle-ci peut faire l’objet d’un recours conformément aux règles générales de procédure. Comme la reconsidération ne doit cependant pas permettre à un administré de se ménager une voie de recours là où il n’en avait pas ou plus contre la décision initiale, le</w:t>
      </w:r>
    </w:p>
    <w:p>
      <w:r>
        <w:t>- 8/16 - A/2914/2018 recours dirigé contre la décision relative à la requête de reconsidération peut porter sur le fond seulement si et dans la mesure où l’autorité saisie est entrée en matière (Jacques DUBEY/Jean-Baptiste ZUFFEREY, Droit administratif général, 2014, p. 751 n. 2145g).</w:t>
      </w:r>
    </w:p>
    <w:p>
      <w:r>
        <w:t>En l’espèce, dans son jugement du 11 avril 2018, le TAPI a renvoyé le dossier à l’intimé afin qu’il entre en matière et qu’il statue sur le fond de la demande du recourant. C’est ce qu’a fait l’intimé dans sa décision du 27 juin 2018 et c’est donc de manière recevable que le recourant a contesté, devant le TAPI puis devant la chambre de céans, le refus de l’OCPM de lui délivrer l’autorisation qu’il a sollicitée. 6) a. Le droit au mariage est garanti par les art. 12 CEDH, 14 Cst. et 22 de la Constitution de la République et canton de Genève du 14 octobre 2012 (Cst-GE - A 2 00).</w:t>
      </w:r>
    </w:p>
    <w:p>
      <w:r>
        <w:t>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t>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w:t>
      </w:r>
    </w:p>
    <w:p>
      <w:r>
        <w:t>- 9/16 - A/2914/2018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2C_585/2018 du 14 janvier 2019 consid. 3.1 et les arrêts cités).</w:t>
      </w:r>
    </w:p>
    <w:p>
      <w:r>
        <w:t>d. La chambre administrative a également déjà confirmé que la délivrance d'une autorisation de séjour en vue de mariage doit s'accompagner, à titre préjudiciel, d'un examen des conditions posées au regroupement familial du futur conjoint (ATA/80/2018 du 30 janvier 2018 consid. 4d et l’arrêt cité).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t>b. L’art. 42 al. 1 LEI prévoit que le conjoint d’un ressortissant suisse ainsi que ses enfants célibataires de moins de 18 ans ont droit à l’octroi d’une autorisation de séjour et à la prolongation de sa durée de validité à condition de vivre en ménage commun avec lui.</w:t>
      </w:r>
    </w:p>
    <w:p>
      <w:r>
        <w:t>En revanche, selon l’art. 51 al.1 let. b LEI, les droits prévus à l’art. 42 LEI s’éteignent s’il existe des motifs de révocation au sens de l’art. 63 LEI. 8) a. Aux termes de l’art. 63 al. 1 LEI, l’autorisation d’établissement d’un étranger peut être révoquée notamment si les conditions visées à l'art. 62 al. 1 let. a ou b LEI sont remplies –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CP – ou si l'étranger attente de manière très grave à la sécurité et à l'ordre publics en Suisse ou à l'étranger, les met en danger ou représente une menace pour la sécurité intérieure ou extérieure de la Suisse (let. b).</w:t>
      </w:r>
    </w:p>
    <w:p>
      <w:r>
        <w:t>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- 10/16 - A/2914/2018 c.</w:t>
      </w:r>
    </w:p>
    <w:p>
      <w:r>
        <w:t>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9)</w:t>
      </w:r>
    </w:p>
    <w:p>
      <w:r>
        <w:t>En l’espèce, en 2015, la chambre pénale a confirmé la condamnation à une peine privative de liberté de quatre ans prononcée à l’encontre du recourant par le Tribunal correctionnel pour contrainte sexuelle et viol avec la circonstance aggravante de la commission en commun. Il a, par son comportement, porté une très grave atteinte à la sécurité et à l’ordre publics.</w:t>
      </w:r>
    </w:p>
    <w:p>
      <w:r>
        <w:t>Il existe dès lors un motif de révocation au sens de l’art. 63 LEI. 10)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w:t>
      </w:r>
    </w:p>
    <w:p>
      <w:r>
        <w:t>- 11/16 - A/2914/2018 11)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w:t>
      </w:r>
    </w:p>
    <w:p>
      <w:r>
        <w:t>- 12/16 - A/2914/2018 (ATF 110 Ib 201)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12) Il faut également tenir compte de l'intérêt de l'enfant, ainsi que l'exige l'art. 3 al. 1 de la Convention des Nations Unies relative aux droits de l'enfant du</w:t>
      </w:r>
    </w:p>
    <w:p>
      <w:r>
        <w:rPr>
          <w:b/>
        </w:rPr>
        <w:t>E. 20</w:t>
      </w:r>
    </w:p>
    <w:p>
      <w:r>
        <w:t>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 14) a. En l’occurrence, le recourant est fiancé à une ressortissante suisse et père d’une enfant portant la même nationalité. Mis à part son séjour en prison, il n’a jamais vécu en Suisse. Il a en effet été interpellé par la police en juillet 2013, deux</w:t>
      </w:r>
    </w:p>
    <w:p>
      <w:r>
        <w:t>- 13/16 - A/2914/2018 semaines seulement après son arrivée à Genève. Durant ce court laps de temps, il a gravement violé l’ordre juridique en commettent les faits très graves pour lesquels il a été condamné.</w:t>
      </w:r>
    </w:p>
    <w:p>
      <w:r>
        <w:t>Lorsqu’il a commis ces infractions, le recourant entretenait depuis 2010 une relation avec celle qui allait devenir sa fiancée. Il ressort du dossier que cette dernière a appris qu’il était en détention alors qu’elle se trouvait au Kosovo et qu’elle lui a rendu visite en prison en décembre 2014. C’est donc en toute connaissance de cause que le recourant et sa compagne ont poursuivi et stabilisé leur relation. Lorsqu’ils ont décidé de se fiancer au cours de l’été 2016, ils étaient en outre au courant de la position des autorités helvétiques, puisque, par l’intermédiaire de l’OCPM, elles avaient déjà fait part au recourant, le 11 mai 2016, de leur refus de lui délivrer l’autorisation lui permettant de venir se marier en Suisse. Compte tenu du lourd passé pénal du recourant et de la position des autorités suisses exprimée en mai 2016 déjà, lui et sa compagne ne pouvaient pas non plus ignorer le risque de devoir vivre leur vie de couple et de famille à l’étranger.</w:t>
      </w:r>
    </w:p>
    <w:p>
      <w:r>
        <w:t>b. Au vu de ce qui précède, et ainsi que l’ont retenu l’OCPM puis le TAPI, l’intérêt public à l’éloignement du recourant prime sur ses intérêts privés, le risque qu’il commette une nouvelle infraction contre l’intégrité sexuelle ne pouvant au surplus être exclu selon le jugement du TAPEM du 22 mars 2016. Le refus de lui permettre de venir se marier en Suisse est en l’espèce la seule mesure apte à garantir la protection de la sécurité et de l’ordre publics, elle apparaît comme proportionnée aux circonstances. Ce refus est conforme au droit, en ce qu’il découle du comportement gravement délictueux du recourant et qu’il était prévisible pour les fiancés, et ne peut donc pas être qualifié d’arbitraire.</w:t>
      </w:r>
    </w:p>
    <w:p>
      <w:r>
        <w:t>c. Le recourant ne peut en conséquence pas se fonder sur ses relations avec sa fille et avec sa fiancée pour se prévaloir de l’art. 8 CEDH. S’agissant de sa fille, le recourant ne démontre au surplus pas l’existence de relations économiques avec elle. Il ne conteste en effet pas que, comme l’a retenu le TAPI, il est sans emploi et dans l’impossibilité de participer aux frais d’entretien de son enfant. C’est enfin en vain qu’il invoque la CDE, celle-ci ne lui accordant aucun droit supplémentaire. 15) Il apparaît dès lors que l’OCPM n’a ni excédé ni abusé de son pouvoir d’appréciation en refusant de délivrer l’autorisation litigieuse. Contrairement à ce que soutient le recourant, il a correctement appliqué l’art. 96 al. 1 LEI qui prévoit que les autorités compétentes tiennent compte, en exerçant leur pouvoir d’appréciation, des intérêts publics, de la situation personnelle de l’étranger, ainsi que de son intégration. Le jugement du TAPI doit en conséquence être confirmé et le recours sera rejeté.</w:t>
      </w:r>
    </w:p>
    <w:p>
      <w:r>
        <w:t>- 14/16 - A/2914/2018 16)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