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ATA/337/2020 vom 7. April 2020</w:t>
      </w:r>
    </w:p>
    <w:p>
      <w:r>
        <w:t>GE Cour de justice, 2020-04-07, FR</w:t>
      </w:r>
    </w:p>
    <w:p>
      <w:r>
        <w:rPr>
          <w:b/>
        </w:rPr>
        <w:t xml:space="preserve">Quelle: </w:t>
      </w:r>
      <w:r>
        <w:t>https://mcp.opencaselaw.ch/entscheid/ge_gerichte_ATA_337_2020</w:t>
      </w:r>
    </w:p>
    <w:p>
      <w:r>
        <w:t>FR: GE_GERICHTE ATA/337/2020 du 7 avril 2020</w:t>
      </w:r>
    </w:p>
    <w:p>
      <w:r>
        <w:t>IT: GE_GERICHTE ATA/337/2020 del 7 aprile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w:t>
      </w:r>
    </w:p>
    <w:p>
      <w:r>
        <w:t>- 3/5 - A/344/2020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(ATA/135/2019 du 12 février 2019 consid. 3 ; ATA/1272/2017 précité consid. 2c ; ATA/29/2017 du 17 janvier 2017 consid. 2d ; ATA/118/2015 du 27 janvier 2015 consid. 2c ; ATA/510/2014 du 1er juillet 2014 consid. 3b).</w:t>
      </w:r>
    </w:p>
    <w:p>
      <w:r>
        <w:rPr>
          <w:b/>
        </w:rPr>
        <w:t>E. 3</w:t>
      </w:r>
    </w:p>
    <w:p>
      <w:r>
        <w:t>En l'espèce, le recourant a été libéré depuis le 21 mars 2020.</w:t>
      </w:r>
    </w:p>
    <w:p>
      <w:r>
        <w:t>Aucun élément du dossier ne laisse à penser qu'il serait susceptible d'être incarcéré à nouveau.</w:t>
      </w:r>
    </w:p>
    <w:p>
      <w:r>
        <w:t>En application de la jurisprudence précitée et constante de la chambre de céans, il n'y a dès lors aucune raison de passer outre l'exigence de l'intérêt actuel (ATA/1030/2019 du 18 juin 2019 ATA/555/2018 du 5 juin 2018 consid. 2f ; ATA/308/2016 du 12 avril 2016 et les références citées).</w:t>
      </w:r>
    </w:p>
    <w:p>
      <w:r>
        <w:t>- 4/5 - A/344/2020</w:t>
      </w:r>
    </w:p>
    <w:p>
      <w:r>
        <w:rPr>
          <w:b/>
        </w:rPr>
        <w:t>E. 4</w:t>
      </w:r>
    </w:p>
    <w:p>
      <w:r>
        <w:t>Vu ce qui précède, le recours a perdu son objet en cours de procédure, ce qu'il y a lieu de constater.</w:t>
      </w:r>
    </w:p>
    <w:p>
      <w:r>
        <w:t>La cause devra être rayée du rôle.</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