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ATA/336/2011 vom 24. Mai 2011</w:t>
      </w:r>
    </w:p>
    <w:p>
      <w:r>
        <w:t>GE Cour de justice, 2011-05-24, FR</w:t>
      </w:r>
    </w:p>
    <w:p>
      <w:r>
        <w:rPr>
          <w:b/>
        </w:rPr>
        <w:t xml:space="preserve">Quelle: </w:t>
      </w:r>
      <w:r>
        <w:t>https://mcp.opencaselaw.ch/entscheid/ge_gerichte_ATA_336_2011</w:t>
      </w:r>
    </w:p>
    <w:p>
      <w:r>
        <w:t>FR: GE_GERICHTE ATA/336/2011 du 24 mai 2011</w:t>
      </w:r>
    </w:p>
    <w:p>
      <w:r>
        <w:t>IT: GE_GERICHTE ATA/336/2011 del 24 maggio 2011</w:t>
      </w:r>
    </w:p>
    <w:p>
      <w:pPr>
        <w:pStyle w:val="Heading2"/>
      </w:pPr>
      <w:r>
        <w:t>Regeste</w:t>
      </w:r>
    </w:p>
    <w:p>
      <w:r>
        <w:t>Résumé: Dans le cadre de la réaffectation conforme au droit de l'ensemble des logements, de divers immeubles propriété de la recourante, le département ne saurait instituer un contrôle des loyers. La LDTR n'autorise en effet l'instauration d'un tel contrôle que lorsque des travaux soumis à ladite loi ont été réalisés (art 10 et ss. LDTR), ce qui n'était pas le cas en l'espèce. Au surplus, la nature des mesures que le département peut ordonner en application de l'art. 129 LCI est énumérée par cette disposition. L'instauration d'un contrôle des loyers n'y figure pas.</w:t>
      </w:r>
    </w:p>
    <w:p>
      <w:pPr>
        <w:pStyle w:val="Heading2"/>
      </w:pPr>
      <w:r>
        <w:t>Erwägungen</w:t>
      </w:r>
    </w:p>
    <w:p>
      <w:r>
        <w:rPr>
          <w:b/>
        </w:rPr>
        <w:t>E. 14</w:t>
      </w:r>
    </w:p>
    <w:p>
      <w:r>
        <w:t>avril 1988 (LCI - L 5 05) et des peines plus élevées prévues par le CP.</w:t>
      </w:r>
    </w:p>
    <w:p>
      <w:r>
        <w:t>b. L’art. 129 LCI prévoit que, dans les limites des dispositions de l’art. 130, le département peut ordonner, à l’égard des constructions, des installations ou d’autres choses, notamment la remise en état (let. e). Selon l’art. 130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t>L’art. 129 LCI précité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(Ch. ACKERMANN</w:t>
      </w:r>
    </w:p>
    <w:p>
      <w:r>
        <w:t>- 9/10 - A/996/2010 SCHWEN-DENER, Die klassische Ersatzvornahme als Vollstreckungsmittel des Verwal-tungsrechts, Zurich 2000, p. 2). 4)</w:t>
      </w:r>
    </w:p>
    <w:p>
      <w:r>
        <w:t>L'autorité recourante soutient que, pour vérifier que N______ S.A. a bien respecté l'ordre de remise en état du 23 septembre 2005 lui ordonnant de réaffecter les appartements de l'immeuble au logement ordinaire, c'est-à-dire de la location non meublée. Le département ne pouvait intervenir que sur la base d'un contrôle effectif des modalités de mise à disposition des locaux concernés. Dès lors que les loyers correspondaient à ceux perçus dans la pratique pour les appartements meublés, le département alléguait qu’il était fondé, par une application analogique de la LDTR, à exiger de N______ S.A. qu'elle se base sur le rendement locatif de l'immeuble, subsidiairement sur le seuil maximum autorisé par la loi, pour fixer les loyers. 5) a. Ainsi que l'a relevé la commission, la LDTR n'autorise l'instauration d'un contrôle des loyers que lorsque des travaux soumis à ladite loi ont été réalisés (art 10 et ss. LDTR). Tel n'a pas été le cas en l'espèce dès lors que la décision prononcée le 23 juin 2005 visait à redonner à l'immeuble concerné une affectation conforme au droit, sans qu’il n’y ait de démolition ou de transformation.</w:t>
      </w:r>
    </w:p>
    <w:p>
      <w:r>
        <w:t>Sur ce point, la décision de la commission ne peut qu'être confirmée.</w:t>
      </w:r>
    </w:p>
    <w:p>
      <w:r>
        <w:t>b. Au surplus, la nature des mesures que le département peut ordonner en application de l'art. 129 LCI est énumérée par cette disposition. L'instauration d'un contrôle des loyers n'y figure pas. 6)</w:t>
      </w:r>
    </w:p>
    <w:p>
      <w:r>
        <w:t>Au vu de ce qui précède, le recours sera rejeté et la décision prononcée par la commission le 22 juin 2010 confirmée. 7)</w:t>
      </w:r>
    </w:p>
    <w:p>
      <w:r>
        <w:t>Au vu de cette issue, une indemnité de CHF 1'500.- sera allouée à N______ S.A, qui obtient gain de cause (art. 87 LPA). Aucun émolument ne sera mis à la charge du département (art. 11 al. 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