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ATA/335/2010 vom 18. Mai 2010</w:t>
      </w:r>
    </w:p>
    <w:p>
      <w:r>
        <w:t>GE Cour de justice, 2010-05-18, FR</w:t>
      </w:r>
    </w:p>
    <w:p>
      <w:r>
        <w:rPr>
          <w:b/>
        </w:rPr>
        <w:t xml:space="preserve">Quelle: </w:t>
      </w:r>
      <w:r>
        <w:t>https://mcp.opencaselaw.ch/entscheid/ge_gerichte_ATA_335_2010</w:t>
      </w:r>
    </w:p>
    <w:p>
      <w:r>
        <w:t>FR: GE_GERICHTE ATA/335/2010 du 18 mai 2010</w:t>
      </w:r>
    </w:p>
    <w:p>
      <w:r>
        <w:t>IT: GE_GERICHTE ATA/335/2010 del 18 maggio 2010</w:t>
      </w:r>
    </w:p>
    <w:p>
      <w:pPr>
        <w:pStyle w:val="Heading2"/>
      </w:pPr>
      <w:r>
        <w:t>Erwägungen</w:t>
      </w:r>
    </w:p>
    <w:p>
      <w:r>
        <w:rPr>
          <w:b/>
        </w:rPr>
        <w:t>E. 7</w:t>
      </w:r>
    </w:p>
    <w:p>
      <w:r>
        <w:t>Les recourants soutiennent que la construction de nouveaux logements dans les secteurs B et C généreraient de graves problèmes de circulation.</w:t>
      </w:r>
    </w:p>
    <w:p>
      <w:r>
        <w:t>a.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w:t>
      </w:r>
    </w:p>
    <w:p>
      <w:r>
        <w:t>b. Les dispositions cantonales concernant la limitation quantitative des nuisances n'ont plus de portée propre dans les domaines réglés par le droit fédéral (ATF 117 Ib 157 ; 113 Ib 220). Le droit fédéral laisse subsister les prescriptions cantonales concernant des objectifs particuliers d'urbanisme, notamment ceux concernant les problèmes de circulation routière (ATF 117 Ib 157 ; ATA/127/2009 du 10 février 2009).</w:t>
      </w:r>
    </w:p>
    <w:p>
      <w:r>
        <w:t>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(ATA/649/2002 du 5 novembre 2002 et les arrêts cités).</w:t>
      </w:r>
    </w:p>
    <w:p>
      <w:r>
        <w:t>d.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l'autorité ne s’écarte pas, sans motif prépondérant et dûment établi, du préavis de l’autorité technique consultative, composée de spécialistes.</w:t>
      </w:r>
    </w:p>
    <w:p>
      <w:r>
        <w:t>Dans le cas d'espèce, en ce qui concerne les éventuels problèmes générés par le trafic automobile, l’OCM a préavisé favorablement le projet et a été suivi par le Conseil d'Etat. Les éléments mis en avant par les recourants ne sont pas de nature à modifier cette appréciation, car les éventuels problèmes de circulation apparaissent nettement plus en lien avec l'existence de l'école qu'avec les constructions envisagées dans le plan de site. De plus, les dangers mis en avant,</w:t>
      </w:r>
    </w:p>
    <w:p>
      <w:r>
        <w:t>- 15/16 - A/3501/2008 notamment lorsque les routes sont verglacées, sont inhérents à l'hiver dans le canton de Genève, et malheureusement communs à de nombreuses artères en pente. Ils ne peuvent justifier l'annulation du plan de site. Ce grief sera aussi rejeté.</w:t>
      </w:r>
    </w:p>
    <w:p>
      <w:r>
        <w:rPr>
          <w:b/>
        </w:rPr>
        <w:t>E. 8</w:t>
      </w:r>
    </w:p>
    <w:p>
      <w:r>
        <w:t>Les recourants reprochent au plan de site d'entraîner l'abattage de nombreux arbres situés dans les secteurs B et C.</w:t>
      </w:r>
    </w:p>
    <w:p>
      <w:r>
        <w:t>L'art. 11 LPRLac prévoit la conservation du cadre végétal existant dans le périmètre protégé, étant précisé que, au besoin, la direction générale de la nature et du paysage peut demander que ce cadre soit adapté. Comme cela est rappelé ci- dessus, l'art. 4 de ce même texte donne au Conseil d'Etat le pouvoir d'adopter un plan de site et d'ainsi déterminer les mesures propres à assurer la sauvegarde ou l'amélioration des lieux, telles que maintien de bâtiments existants, alignement aux abords de lisières de bois et forêts ou de cours d'eau, angles de vue, arborisation, et les conditions relatives aux constructions, installations et exploitations de toute nature (implantation, gabarit, volume, aspect, destination) (art. 38 al. 2 let a et b LPMNS).</w:t>
      </w:r>
    </w:p>
    <w:p>
      <w:r>
        <w:t>C'est exactement ce qu'a fait le Conseil d'Etat en l'espèce. Il a, afin de permettre la conservation et la protection des bâtiments de l'ancien domaine Boissier, déterminé le périmètre d'implantation des nouveaux bâtiments, même si cela devait entraîner l'abattage de certains arbres. Toute autre solution, qui ne tiendrait pas compte de la réalité économique, n'aurait pas permis le classement des bâtiments concernés (arrêt du Tribunal fédéral 1P.842/2005 du 30 novembre 2006; 1P.258/2006 du 9 août 2006).</w:t>
      </w:r>
    </w:p>
    <w:p>
      <w:r>
        <w:t>En agissant ainsi, le Conseil d'Etat est resté dans le cadre des compétences que la LPRLac et la LPMNS lui accordent. Partant, ce grief sera rejeté.</w:t>
      </w:r>
    </w:p>
    <w:p>
      <w:r>
        <w:rPr>
          <w:b/>
        </w:rPr>
        <w:t>E. 9</w:t>
      </w:r>
    </w:p>
    <w:p>
      <w:r>
        <w:t>Au vu de ce qui précède, le recours sera rejeté. Un émolument de CHF 2'148,90, incluant les frais d’interprète et de transport, sera mis à la charge conjointe et solidaire des recourants, qui succombent. Une indemnité de procédure de CHF 2'000.- sera allouée à Equinoxe, à la charge conjointe et solidaire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