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ATA/333/2018 vom 10. April 2018</w:t>
      </w:r>
    </w:p>
    <w:p>
      <w:r>
        <w:t>GE Cour de justice, 2018-04-10, FR</w:t>
      </w:r>
    </w:p>
    <w:p>
      <w:r>
        <w:rPr>
          <w:b/>
        </w:rPr>
        <w:t xml:space="preserve">Quelle: </w:t>
      </w:r>
      <w:r>
        <w:t>https://mcp.opencaselaw.ch/entscheid/ge_gerichte_ATA_333_2018</w:t>
      </w:r>
    </w:p>
    <w:p>
      <w:r>
        <w:t>FR: GE_GERICHTE ATA/333/2018 du 10 avril 2018</w:t>
      </w:r>
    </w:p>
    <w:p>
      <w:r>
        <w:t>IT: GE_GERICHTE ATA/333/2018 del 10 aprile 2018</w:t>
      </w:r>
    </w:p>
    <w:p>
      <w:pPr>
        <w:pStyle w:val="Heading2"/>
      </w:pPr>
      <w:r>
        <w:t>Erwägungen</w:t>
      </w:r>
    </w:p>
    <w:p>
      <w:r>
        <w:rPr>
          <w:b/>
        </w:rPr>
        <w:t>E. 12</w:t>
      </w:r>
    </w:p>
    <w:p>
      <w:r>
        <w:t>septembre 1985 - LPA - E 5 10 ; art. 52 de la loi sur l'insertion et l'aide sociale individuelle du 22 mars 2007 (LIASI - J 4 04). 2) a. Selon l’art. 68 LPA, un recourant peut invoquer des motifs, des faits et des moyens de preuves nouveaux qui ne l’ont pas été dans les précédentes procédures, sauf exception prévue par la loi.</w:t>
      </w:r>
    </w:p>
    <w:p>
      <w:r>
        <w:t>Selon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(ATA/186/2018 du 27 février 2018 consid. 2 et les références citées).</w:t>
      </w:r>
    </w:p>
    <w:p>
      <w:r>
        <w:t>b. En l’espèce, le recourant n’a contesté, dans son opposition, que le fait qu’il ne s’était pas dessaisi de la somme de CHF 610'945.-. Son argumentation reposait exclusivement sur la notion de dessaisissement, qu’il a analysée selon les règles régissant le droit aux prestations complémentaires. Il concluait qu’il ne s’était nullement dessaisi de la somme de CHF 610'945.-. Seule la somme de</w:t>
      </w:r>
    </w:p>
    <w:p>
      <w:r>
        <w:t>- 4/5 - A/4048/2017 CHF 2'496.65 devait être incluse dans sa fortune, « sans préjudice de son droit d’habitation taxé à CHF 18'701.- ».</w:t>
      </w:r>
    </w:p>
    <w:p>
      <w:r>
        <w:t>Le recourant reconnaissait ainsi expressément la prise en compte du montant de CHF 18'701.-. Il n’a élevé aucune critique au sujet de ce montant ni de sa prise en compte dans la décision d’aide sociale. Il n’a pas non plus soutenu que le dessaisissement – qu’il contestait, mais dont il n’a pas été tenu compte – aurait une répercussion sur le montant à retenir au titre du droit d’habitation. Il ne peut ainsi être suivi lorsqu’il soutient que son argumentation relative au dessaisissement incluait la contestation de l’évaluation du droit d’habitation.</w:t>
      </w:r>
    </w:p>
    <w:p>
      <w:r>
        <w:t>N’ayant pas soumis de grief à l’autorité statuant sur opposition en relation avec la prise en compte de la valeur fiscale du droit d’habitation, le grief du recourant y relatif, nouveau, ne peut être examiné par la chambre de céans.</w:t>
      </w:r>
    </w:p>
    <w:p>
      <w:r>
        <w:t>Pour le surplus, le recourant ne soulève pas d’autres griefs. Son recours sera dès lors rejeté. 3)</w:t>
      </w:r>
    </w:p>
    <w:p>
      <w:r>
        <w:t>Vu la nature du litige, il ne sera pas perçu d’émolument (art. 87 al. 1 LPA et 11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