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ATA/331/2022 vom 29. März 2022</w:t>
      </w:r>
    </w:p>
    <w:p>
      <w:r>
        <w:t>GE Cour de justice, 2022-03-29, FR</w:t>
      </w:r>
    </w:p>
    <w:p>
      <w:r>
        <w:rPr>
          <w:b/>
        </w:rPr>
        <w:t xml:space="preserve">Quelle: </w:t>
      </w:r>
      <w:r>
        <w:t>https://mcp.opencaselaw.ch/entscheid/ge_gerichte_ATA_331_2022</w:t>
      </w:r>
    </w:p>
    <w:p>
      <w:r>
        <w:t>FR: GE_GERICHTE ATA/331/2022 du 29 mars 2022</w:t>
      </w:r>
    </w:p>
    <w:p>
      <w:r>
        <w:t>IT: GE_GERICHTE ATA/331/2022 del 29 marzo 2022</w:t>
      </w:r>
    </w:p>
    <w:p>
      <w:pPr>
        <w:pStyle w:val="Heading2"/>
      </w:pPr>
      <w:r>
        <w:t>Erwägungen</w:t>
      </w:r>
    </w:p>
    <w:p>
      <w:r>
        <w:rPr>
          <w:b/>
        </w:rPr>
        <w:t>E. 05</w:t>
      </w:r>
    </w:p>
    <w:p>
      <w:r>
        <w:t>; art. 62 al. 1 let. a de la loi sur la procédure administrative du 12 septembre 1985 - LPA - E 5 10). 3)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Conformément à la jurisprudence de la chambre de céans, les exigences formelles posées par le législateur ont pour but de permettre à la juridiction administrative de déterminer l’objet du litige qui lui est soumis et de donner</w:t>
      </w:r>
    </w:p>
    <w:p>
      <w:r>
        <w:t>- 4/6 - A/1680/2021 l’occasion à la partie intimée de répondre aux griefs formulés à son encontre (ATA/293/2016 précité consid. 3 ; ATA/1351/2015 précité consid. 3 ; ATA/1/2007 du 9 janvier 2007 ; ATA/632/2005 du 27 septembre 2005).</w:t>
      </w:r>
    </w:p>
    <w:p>
      <w:r>
        <w:t>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désigné comme tel mais ne contenant que des conclusions constatatoires non précisées sur demande du juge délégué (ATA/293/2016 précité); un recours en matière de prestations complémentaires, dont on ne pouvait savoir s'il concernait également les prestations d'assistance, ce alors que la recourante n'avait pas répondu à une demande de précision de ses conclusions à cet égard (ATA/1351/2015 précité).</w:t>
      </w:r>
    </w:p>
    <w:p>
      <w:r>
        <w:t>Dans un arrêt du 10 octobre 2017, la chambre de céans a déclaré manifestement irrecevable un recours posté le dernier jour du délai, qui ne comprenait aucune conclusion concernant le jugement du TAPI. L'acte de recours réservait le complètement des motifs du recours – d'office et sans se préoccuper de savoir si la chambre administrative acquiescerait à ce mode de faire – mais ne disait rien des conclusions (ATA/1386/2017).</w:t>
      </w:r>
    </w:p>
    <w:p>
      <w:r>
        <w:t>c. En l’espèce, la recourante a interjeté recours par pli posté le dernier jour du délai. Son courrier ne contient aucune conclusion et se limite à indiquer à la chambre de céans son intention de recourir. Si, certes, la société a manifesté son désaccord avec la décision litigieuse et que l'acte attaqué est explicitement cité dans ses écritures, la société n’a fait aucune mention des points qu’elle conteste ni des motifs justifiant qu’elle recoure. Aucune explication n’est en effet fournie ni, a fortiori, aucun justificatif.</w:t>
      </w:r>
    </w:p>
    <w:p>
      <w:r>
        <w:t>Or, les conclusions doivent être contenues dans l'acte de recours sous peine d'irrecevabilité et, malgré la pratique souple de la chambre de céans à ce sujet, il n'est en l'espèce pas possible de savoir ce que souhaite la recourante et sur quels points elle est en désaccord avec le jugement attaqué. 4) a. Sur demande motivée du recourant dont le recours répond aux exigences des al. 1 à 3, la juridiction saisie peut l’autoriser à compléter l’acte de recours et lui impartit à cet effet un délai supplémentaire convenable (art. 65 al. 4 LPA).</w:t>
      </w:r>
    </w:p>
    <w:p>
      <w:r>
        <w:t>- 5/6 - A/1680/2021</w:t>
      </w:r>
    </w:p>
    <w:p>
      <w:r>
        <w:t>b. En l’espèce, comme vu dans le considérant qui précède, le recours ne répond pas aux exigence de l’art. 65 al. 1 LPA.</w:t>
      </w:r>
    </w:p>
    <w:p>
      <w:r>
        <w:t>De surcroît, la motivation ne serait au demeurant pas suffisante pour autoriser la recourante à compléter son recours. L’explication « en raison de maladie suite au Covid au sein de notre entreprise », sans plus de précisions, ni pièce à l’appui, ne satisfait à l’évidence pas à la condition de motivation pouvant être exigée d’une société anonyme.</w:t>
      </w:r>
    </w:p>
    <w:p>
      <w:r>
        <w:t>Il s'ensuit que le recours est manifestement irrecevable et sera déclaré tel sans autre acte d'instruction, conformément à l'art. 72 LPA. 5)</w:t>
      </w:r>
    </w:p>
    <w:p>
      <w:r>
        <w:t>Vu l'issue du litige, un émolument de CHF 300.- sera mis à la charge de la recourante, qui succombe (art. 87 al. 1 LPA), et il ne sera pas alloué d'indemnité de procédure en l’absence d’échange d’écritures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