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ATA/331/2020 vom 7. April 2020</w:t>
      </w:r>
    </w:p>
    <w:p>
      <w:r>
        <w:t>GE Cour de justice, 2020-04-07, FR</w:t>
      </w:r>
    </w:p>
    <w:p>
      <w:r>
        <w:rPr>
          <w:b/>
        </w:rPr>
        <w:t xml:space="preserve">Quelle: </w:t>
      </w:r>
      <w:r>
        <w:t>https://mcp.opencaselaw.ch/entscheid/ge_gerichte_ATA_331_2020</w:t>
      </w:r>
    </w:p>
    <w:p>
      <w:r>
        <w:t>FR: GE_GERICHTE ATA/331/2020 du 7 avril 2020</w:t>
      </w:r>
    </w:p>
    <w:p>
      <w:r>
        <w:t>IT: GE_GERICHTE ATA/331/2020 del 7 aprile 2020</w:t>
      </w:r>
    </w:p>
    <w:p>
      <w:pPr>
        <w:pStyle w:val="Heading2"/>
      </w:pPr>
      <w:r>
        <w:t>Erwägungen</w:t>
      </w:r>
    </w:p>
    <w:p>
      <w:r>
        <w:rPr>
          <w:b/>
        </w:rPr>
        <w:t>E. 12</w:t>
      </w:r>
    </w:p>
    <w:p>
      <w:r>
        <w:t>septembre 1985 - LPA - E 5 10). 2)</w:t>
      </w:r>
    </w:p>
    <w:p>
      <w:r>
        <w:t>L’art. 11 al. 1 et al. 2 let. a de la loi sur les taxis et les voitures de transport avec chauffeur du 13 octobre 2016 (LTVTC - H 1 31) prévoit que les AUADP, personnelles et incessibles, sont attribuées sur requête, à une personne physique - titulaire d'une carte professionnelle de chauffeur de taxi - ou morale devant être une entreprise de transport.</w:t>
      </w:r>
    </w:p>
    <w:p>
      <w:r>
        <w:t>Ces autorisations sont attribuées en respectant des critères objectifs déterminés par le Conseil d’État, critères devant permettre d'assurer un système cohérent, transparent et non discriminatoire et de réaliser un équilibre approprié entre le besoin de stabilité des autorisations et la liberté (art. 11 al. 4 LTVTC).</w:t>
      </w:r>
    </w:p>
    <w:p>
      <w:r>
        <w:t>Les AUADP délivrées sont valable six ans et elles sont renouvelables selon les critères d’attribution (art. 12 LTVTC). 3) a. Lors de l’adoption de la LTVTC, des dispositions transitoires ont été instituées.</w:t>
      </w:r>
    </w:p>
    <w:p>
      <w:r>
        <w:t>En particulier, les titulaires d'une AUADP avaient la faculté, pendant une durée de six mois dès l'entrée en vigueur de ladite loi, de céder leur autorisation à un autre titulaire d'autorisation (art. 47 al. 1 LTVTC). Une telle cession ne pouvait intervenir qu’une seule fois (art. 47 al. 2 LTVTC).</w:t>
      </w:r>
    </w:p>
    <w:p>
      <w:r>
        <w:t>- 5/9 - A/3422/2019</w:t>
      </w:r>
    </w:p>
    <w:p>
      <w:r>
        <w:t>b. Le législateur a exposé que cette disposition, présentée comme étant innovante, avait pour but de favoriser la création d’entreprise et de synergies des acteurs du milieu. Les cessions ainsi autorisée étaient strictement encadrées, et ne pouvaient intervenir que dans les six premiers mois après l’entrée en vigueur de la nouvelle loi. Cette limitation visait à ne pas se mettre en porte-à-faux avec les principes constitutionnels de la liberté économique et de l'égalité de traitement, car les nouveaux candidats à l'obtention d'une autorisation ne devaient pas être lésés par ces cessions qui allaient s'opérer hors des critères usuels d'attribution (cf. commentaire article par article du PL 11709, ad art. 46 p. 52).</w:t>
      </w:r>
    </w:p>
    <w:p>
      <w:r>
        <w:t>c. L’interprétation de cette disposition a fait l’objet d’un litige, tranché par arrêt de la chambre administrative (ATA/385/2018 du 24 avril 2018). Contrairement à ce que soutenait l’administration, le mot « autorisation » cité à la fin de l'art. 47 al. 1 LTVTC recouvrait uniquement les titulaires d’AUADP, et non l'ensemble des personnes bénéficiant d’une autorisation délivrée au sens de la LTVTC, à savoir aussi bien les AUADP que les cartes professionnelles, lesquelles étaient uniquement des autorisations d'exercer.</w:t>
      </w:r>
    </w:p>
    <w:p>
      <w:r>
        <w:t>4)</w:t>
      </w:r>
    </w:p>
    <w:p>
      <w:r>
        <w:t>En l’espèce, la décision litigieuse est conforme à l’art. 47 LTVTC. La cession requise n’a pas été demandée dans les six mois après l’entrée en vigueur de cette loi. De plus, la société qui devrait recevoir les AUADP n’a jamais été au bénéfice d’autorisation de ce genre.</w:t>
      </w:r>
    </w:p>
    <w:p>
      <w:r>
        <w:t>Les raisonnements développés par les recourants pour soutenir leur position n’ont pas de pertinence. La société anonyme, certes créée par M. A______, est une personne morale séparée de M. A______. En particulier, le fait que ce dernier soit porteur des actions de cette société anonyme ne l’empêche en aucun cas de les céder à une tierce personne.</w:t>
      </w:r>
    </w:p>
    <w:p>
      <w:r>
        <w:t>Autoriser la cession requise reviendrait à créer une inégalité de traitement entre la société anonyme qui en serait bénéficiaire et toutes les autres personnes morales qui, n’ayant jamais été titulaires d’une AUADP, voire d’une autre autorisation prévue par la LTVTC, n’auraient jamais pu se les faire céder, ni pendant la période initiale de six mois, ni après.</w:t>
      </w:r>
    </w:p>
    <w:p>
      <w:r>
        <w:t>5)</w:t>
      </w:r>
    </w:p>
    <w:p>
      <w:r>
        <w:t>Les recourants soutiennent de plus que la décision litigieuse violerait le principe de la liberté économique ainsi que le principe de l’égalité de traitement entre les concurrents directs ainsi que le principe de la garantie de la propriété.</w:t>
      </w:r>
    </w:p>
    <w:p>
      <w:r>
        <w:t>a.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w:t>
      </w:r>
    </w:p>
    <w:p>
      <w:r>
        <w:t>- 6/9 - A/3422/2019 consid. 4.2). L'art. 36 Cst. exige que toute restriction à un droit fondamental soit fondée sur une base légale (al. 1), justifiée par un intérêt public ou par la protection d'un droit fondamental d'autrui (al. 2), et proportionnée au but visé (al. 3).</w:t>
      </w:r>
    </w:p>
    <w:p>
      <w:r>
        <w:t>Cette liberté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 140 I 218 consid. 6.2).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(arrêt du Tribunal fédéral 2C_380/2016 du 1er septembre 2017 consid. 5.1 et les références citées). L'égalité de traitement entre concurrents directs n'est pas absolue et autorise des différences, à condition que celles-ci reposent sur une base légale, qu'elles répondent à des critères objectifs et résultent du système lui- même ; il est seulement exigé que les inégalités ainsi instaurées soient réduites au minimum nécessaire pour atteindre le but d'intérêt public poursuivi (ATF 143 I 37 consid. 8.2 ; 137 I 167 consid. 3.5).</w:t>
      </w:r>
    </w:p>
    <w:p>
      <w:r>
        <w:t>b. En l’espèce, les restrictions apportées à la liberté économique des recourants sont fondées sur une base légale. D’une manière générale, l’intérêt public à limiter l’accès à la profession de chauffeur de taxi, surtout lorsque ces derniers bénéficient d’une autorisation d’usage accru du domaine public, a été largement analysé, et confirmé, par la jurisprudence (ATF 2C_772/2017 et 2C_773/2017 du</w:t>
      </w:r>
    </w:p>
    <w:p>
      <w:r>
        <w:rPr>
          <w:b/>
        </w:rPr>
        <w:t>E. 13</w:t>
      </w:r>
    </w:p>
    <w:p>
      <w:r>
        <w:t>mai 2019, ainsi que les références citées). Ces règles poursuivent un intérêt public légitime, soit promouvoir un service public efficace et de qualité.</w:t>
      </w:r>
    </w:p>
    <w:p>
      <w:r>
        <w:t>S’agissant plus spécifiquement de la question de l’égalité de traitement entre concurrents de la même branche économique, les différences imposées par la LTVTC, notamment entre les personnes – physiques ou morales – qui étaient titulaires d’une AUADP, voire titulaires d’une autre autorisation fondée sur la législation régissant les taxis, pendant les six premiers mois de l’entrée en vigueur de la loi et celles qui n’étaient pas titulaires d’une telle autorisation, créaient une différence admissible, dès lors que les personnes visées ne se trouvaient pas dans une situation semblable, loin de là.</w:t>
      </w:r>
    </w:p>
    <w:p>
      <w:r>
        <w:t>Partant, le grief de violation de la liberté économique ainsi que celui de la violation de l’égalité de traitement entre concurrents seront écartés, étant non fondés. 6)</w:t>
      </w:r>
    </w:p>
    <w:p>
      <w:r>
        <w:t>Les recourants soutiennent que la décision litigieuse violerait le principe de la bonne foi.</w:t>
      </w:r>
    </w:p>
    <w:p>
      <w:r>
        <w:t>- 7/9 - A/3422/2019</w:t>
      </w:r>
    </w:p>
    <w:p>
      <w:r>
        <w:t>a. Ce principe protège le citoyen dans la confiance légitime qu'il met dans les assurances reçues des autorités lorsqu'il a réglé sa conduite d'après des décisions, des déclarations ou un comportement déterminé de l'administration (ATF 137 II 182 consid. 3.6.2 ; 137 I 69 consid. 2.5.1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Le principe de la confiance est toutefois un élément à prendre en considération et non un facteur donnant en tant que tel naissance à un droit (arrêt du Tribunal fédéral du 14 octobre 2004 in RDAF 2005 I 71 ; Thierry TANQUEREL, Manuel de droit administratif, 2018, p. 203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203 s. n. 571).</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(ATA/1819/2019 du 17 décembre 2019 consid. 7b ; ATA/171/2015 précité et les références citées).</w:t>
      </w:r>
    </w:p>
    <w:p>
      <w:r>
        <w:t>b. En l’espèce, le seul fait que M. A______ indique s’être rendu au PCTN pour s’informer sur les conditions d’exploitation de son activité par le biais d’une société anonyme et qu’il ait reçu le formulaire intitulé « B-2 : annonce de l’activité d’entreprise de transport (formulaire à l’attention des personnes morales) » ne répond pas aux exigences rappelées ci-dessus. Les recourants ne donnent dans le recours aucun renseignement précis ni au sujet des contacts qu’ils auraient eus avec l’autorité intimée, ni à propos des questions qu’ils auraient posées. De plus, le formulaire qu’ils produisent pour tenter de justifier leur raisonnement est téléchargeable sur Internet.</w:t>
      </w:r>
    </w:p>
    <w:p>
      <w:r>
        <w:t>Partant, ce grief sera aussi écarté.</w:t>
      </w:r>
    </w:p>
    <w:p>
      <w:r>
        <w:t>En l’espèce, il a déjà été relevé que la LTVTC, en ce qu’elle ne permettait pas de transférer les autorisations délivrées, répondait à un intérêt public, celui de la garantie d’une bonne gestion du service des taxis utilisant, d’une manière</w:t>
      </w:r>
    </w:p>
    <w:p>
      <w:r>
        <w:t>- 8/9 - A/3422/2019 accrue, le domaine public. De plus, les AUADP ont une validité de six ans et, s’il est précisé qu’elles sont renouvelées automatiquement pour autant que les exigences prévalant lors de leur délivrance soient remplies, il est toutefois clair que leur validité est limitée et qu’elles disparaissent soit au décès du titulaire, s’il s’agit d’une personne physique, soit lors de l’éventuelle faillite de la personne morale qui en serait titulaire.</w:t>
      </w:r>
    </w:p>
    <w:p>
      <w:r>
        <w:t>Dès lors, l’éventuelle atteinte à la garantie de la propriété répond manifestement aux exigences de l’art. 36 al. 1 à 3 Cst. et le grief sera rejeté. 7)</w:t>
      </w:r>
    </w:p>
    <w:p>
      <w:r>
        <w:t>Enfin, les autres arguments exposés par les recourants, notamment ceux en lien avec une violation par la législation cantonale du droit fédéral, dans la mesure où ils sont compréhensibles, doivent être rejetés. Les raisonnements tenus par les recourants, s’ils étaient suivis, videraient simplement la LTVTC de sa substance dès lors que, par le biais de création de personnes morales, puis de fusion, la cession des AUADP, que le législateur a entendu écarter, serait atteinte par des moyens confinant à la fraude à la loi. 8)</w:t>
      </w:r>
    </w:p>
    <w:p>
      <w:r>
        <w:t>Au vu de ce qui précède, le recours sera écarté. Un émolument de CHF 1'500.- sera mis à la charge des recourants, qui succombent, et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