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ATA/331/2016 vom 19. April 2016</w:t>
      </w:r>
    </w:p>
    <w:p>
      <w:r>
        <w:t>GE Cour de justice, 2016-04-19, FR</w:t>
      </w:r>
    </w:p>
    <w:p>
      <w:r>
        <w:rPr>
          <w:b/>
        </w:rPr>
        <w:t xml:space="preserve">Quelle: </w:t>
      </w:r>
      <w:r>
        <w:t>https://mcp.opencaselaw.ch/entscheid/ge_gerichte_ATA_331_2016</w:t>
      </w:r>
    </w:p>
    <w:p>
      <w:r>
        <w:t>FR: GE_GERICHTE ATA/331/2016 du 19 avril 2016</w:t>
      </w:r>
    </w:p>
    <w:p>
      <w:r>
        <w:t>IT: GE_GERICHTE ATA/331/2016 del 19 aprile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L'exigence de l'avance de frais et les conséquences juridiques en cas de non-paiement de celle-ci relèvent du droit de procédure cantonal. Par conséquent, les cantons sont libres, dans le respect des garanties constitutionnelles, d'organiser</w:t>
      </w:r>
    </w:p>
    <w:p>
      <w:r>
        <w:t>- 4/7 - A/3502/2015 cette matière à leur guise (arrêt du Tribunal fédéral 2C_1022/2012 du 25 mars 2013 consid. 5.1 ; ATA/916/2015 du 8 septembre 2015 consid. 2a et jurisprudence).</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(ATA/916/2015 précité consid. 2b et jurisprudence citée).</w:t>
      </w:r>
    </w:p>
    <w:p>
      <w:r>
        <w:t>c.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1er juillet 2008 consid. 2.3.4).</w:t>
      </w:r>
    </w:p>
    <w:p>
      <w:r>
        <w:rPr>
          <w:b/>
        </w:rPr>
        <w:t>E. 3</w:t>
      </w:r>
    </w:p>
    <w:p>
      <w:r>
        <w:t>a.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(ATA/916/2015 précité consid 2c ; ATA/881/2010 du 14 décembre 2010 consid. 4a).</w:t>
      </w:r>
    </w:p>
    <w:p>
      <w:r>
        <w:t>b. En outre, il convient de réserver les cas de force majeure. Selon la jurisprudence, il y a lieu d’appliquer par analogie à cette notion celle du cas de force majeure de l’art. 16 al. 1 LPA pour déterminer si l’intéressée a été empêché sans sa faute de verser l’avance de frais dans le délai fixé (ATA/916/2015 précité consid. 2c et la jurisprudence citée). Entrent dans cette notion les événements extraordinaires et imprévisibles qui surviennent en dehors de la sphère d’activité de l’intéressé et qui s’imposent à lui de façon irrésistible (ATA/916/2015 précité consid 2c ; ATA/378/2014 précité consid. 3d ; ATA/515/2009 du 13 octobre 2009 consid. 4b ; ATA/40/1998 du 27 janvier 1998 consid. 3a).</w:t>
      </w:r>
    </w:p>
    <w:p>
      <w:r>
        <w:t>- 5/7 - A/3502/2015</w:t>
      </w:r>
    </w:p>
    <w:p>
      <w:r>
        <w:t>Pour établir l'existence d'un cas de force majeure, le fardeau de la preuve incombe à l'assujetti (ATA/544/2013 du 27 août 2013 et les références citées).</w:t>
      </w:r>
    </w:p>
    <w:p>
      <w:r>
        <w:t>c. Les conditions pour admettre un empêchement sont très strictes. Ce dernier doit être imprévisible et sa survenance ne doit pas être imputable à l'administré (arrêt du Tribunal fédéral 2P.259/2006 du 18 avril 2007 consid. 3.2 et la jurisprudence citée ; ATA/735/2015 précité consid. 3b et jurisprudence citée). Il doit être de nature telle que le respect des délais aurait exigé la prise de dispositions que l'on ne peut raisonnablement attendre de la part d'un homme d'affaires avisé (ATA/544/2013 précité ; ATA/397/2013 du 25 juin 2013 consid. 9 ; ATA/744/2012 du 30 octobre 2012 ; ATA/38/2011 du 25 janvier 2011 ; Danielle YERSIN/Yves NOËL, Commentaire de la loi sur l'impôt fédéral direct, 2007, ad art. 133, n. 14 et 15 p. 1283).</w:t>
      </w:r>
    </w:p>
    <w:p>
      <w:r>
        <w:t>d. Selon la jurisprudence, la maladie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Hugo CASANOVA/Martin ZWEIFEL, Steuerverfahrensrecht Direkte Steuern, 2008, p. 65).</w:t>
      </w:r>
    </w:p>
    <w:p>
      <w:r>
        <w:t>Ainsi, une opération de l’épaule et l’absence d’un des époux ne peuvent constituer un cas de force majeure (ATA/709/2014 du 2 septembre 2014). Un accident de voiture même d'une certaine gravité, ne remplit pas les conditions de l’art. 21 al. 3 LPFisc, le recourant n’ayant pas prétendu que ledit accident l'aurait empêché physiquement, en raison par exemple d'un coma ou d'un isolement hospitalier prolongé, de commettre un mandataire à cet effet (ATA/234/2014 du</w:t>
      </w:r>
    </w:p>
    <w:p>
      <w:r>
        <w:rPr>
          <w:b/>
        </w:rPr>
        <w:t>E. 8</w:t>
      </w:r>
    </w:p>
    <w:p>
      <w:r>
        <w:t>avril 2014). Le dépôt d’une réclamation quatre mois après l’accouchement de la contribuable est tardif, même si son mari était fréquemment absent. La circonstance alléguée n'empêchait pas la contribuable de confier à un tiers, pas nécessairement son époux, de s'occuper d'une telle démarche administrative (ATA/744/2012 du 30 octobre 2012). Une opération d’un genou ne justifie pas qu’elle ait empêché le contribuable d’adresser dans les délais à l’AFC-GE le document idoine ou de faire intervenir un mandataire (ATA/487/2012 du 31 juillet 2012). Un contribuable produisant un certificat médical attestant du suivi du patient durant les dix dernières années ne peut être retenu, compte tenu des imprécisions dans l'incapacité d'agir ou de donner les instructions nécessaires à un tiers, alors que l’intéressé a pu rédiger à la main la réclamation, pendant la période concernée (ATA/168/2012 du 27 mars 2012). L’existence d’une maladie ne suffit pas pour admettre de jure qu’il y a un motif à restitution de délai. Encore faut-il établir qu’elle empêchait la recourante d’effectuer toute démarche que ce soit, directement envers l’administration, ou en recourant au service d’un tiers</w:t>
      </w:r>
    </w:p>
    <w:p>
      <w:r>
        <w:t>- 6/7 - A/3502/2015 (ATA/481/2011 du 26 juillet 2011 ; ATA/169/2011 du 15 mars 2011 ; ATA/50/2009 du 27 janvier 2009 ; ATA/446/2007 du 4 septembre 2007). 4.</w:t>
      </w:r>
    </w:p>
    <w:p>
      <w:r>
        <w:t>En l’espèce, un délai de paiement au 11 novembre 2015, lequel constituait un délai raisonnable au sens de l’art. 86 al. 1 LPA, a été imparti à la recourante par pli recommandé et il a atteint cette dernière le 19 octobre 2015, lui laissant un temps suffisant pour pouvoir s’acquitter de la somme précitée. 5.</w:t>
      </w:r>
    </w:p>
    <w:p>
      <w:r>
        <w:t>L’intéressée n’a pas versé l’avance de frais au TAPI dans le délai imparti, et sollicite une restitution de délai en se prévalant de son état de santé. Celui-ci l’empêchait, de façon non fautive selon elle, de comprendre ce qui lui était demandé à la date de réception du pli recommandé contenant la date d’échéance de paiement. La justification invoquée n’est cependant pas recevable. S’il n’est pas contestable que la recourante était suivie par un médecin psychiatre et qu’elle le soit encore, celle-ci n’établit pas, par le certificat médical du 13 juillet 2015, voire par les certificats d’incapacité de travail établis par le même médecin au début de l’année 2016, qu’elle se trouvait dans une situation engendrée par son état de santé, qui l’empêchait de comprendre qu’elle devait effectuer le paiement demandé ou, à défaut de pouvoir effectuer elle-même une telle démarche, qui l’empêchait d’en organiser l’exécution avec l’aide de tiers, alors même qu’elle avait été capable de décider seule de saisir le TAPI d’un recours. 6.</w:t>
      </w:r>
    </w:p>
    <w:p>
      <w:r>
        <w:t>Dans ces circonstances, le TAPI était en droit de déclarer le recours irrecevable, vu l’absence de paiement dans le délai imparti. Manifestement mal fondé, le recours sera ainsi rejeté sans acte d'instruction complémentaire, conformément à l'art. 72 LPA. 7.</w:t>
      </w:r>
    </w:p>
    <w:p>
      <w:r>
        <w:t>Malgré l'issue du litige et conformément à sa pratique, la chambre de céans renoncera à percevoir un émolument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