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ATA/331/2004 vom 27. April 2004</w:t>
      </w:r>
    </w:p>
    <w:p>
      <w:r>
        <w:t>GE Cour de justice, 2004-04-27, FR</w:t>
      </w:r>
    </w:p>
    <w:p>
      <w:r>
        <w:rPr>
          <w:b/>
        </w:rPr>
        <w:t xml:space="preserve">Quelle: </w:t>
      </w:r>
      <w:r>
        <w:t>https://mcp.opencaselaw.ch/entscheid/ge_gerichte_ATA_331_2004</w:t>
      </w:r>
    </w:p>
    <w:p>
      <w:r>
        <w:t>FR: GE_GERICHTE ATA/331/2004 du 27 avril 2004</w:t>
      </w:r>
    </w:p>
    <w:p>
      <w:r>
        <w:t>IT: GE_GERICHTE ATA/331/2004 del 27 aprile 2004</w:t>
      </w:r>
    </w:p>
    <w:p>
      <w:pPr>
        <w:pStyle w:val="Heading2"/>
      </w:pPr>
      <w:r>
        <w:t>Regeste</w:t>
      </w:r>
    </w:p>
    <w:p>
      <w:r>
        <w:t>Résumé: Il incombe aux caisses-maladie de porter à la connaissance de leurs assurés les modifications importantes de leurs dispositions statutaires et réglementaires. La communication a été considérée comme suffisante si elle était faite, par exemple, au moyen du journal de la caisse. Ces principes peuvent être repris mutatis mutandis pour les modifications en matière de LPP.</w:t>
      </w:r>
    </w:p>
    <w:p>
      <w:pPr>
        <w:pStyle w:val="Heading2"/>
      </w:pPr>
      <w:r>
        <w:t>Erwägungen</w:t>
      </w:r>
    </w:p>
    <w:p>
      <w:r>
        <w:rPr>
          <w:b/>
        </w:rPr>
        <w:t>E. 1</w:t>
      </w:r>
    </w:p>
    <w:p>
      <w:r>
        <w:t>a.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w:t>
      </w:r>
    </w:p>
    <w:p>
      <w:r>
        <w:rPr>
          <w:b/>
        </w:rPr>
        <w:t>E. 2</w:t>
      </w:r>
    </w:p>
    <w:p>
      <w:r>
        <w:t>L'article 49 de la loi fédérale sur la prévoyance professionnelle vieillesse, survivants et invalidité du 25 juin 1982 (LPP - RS 831.40) prévoit que les institutions de prévoyance peuvent adopter le régime de prestations qui leur convient dans les limites de la LPP (art. 49 al. 1).</w:t>
      </w:r>
    </w:p>
    <w:p>
      <w:r>
        <w:t>Les institutions de prévoyance doivent édicter des dispositions réglementaires sur les prestations (art. 50 al. 1 litt. a LPP).</w:t>
      </w:r>
    </w:p>
    <w:p>
      <w:r>
        <w:rPr>
          <w:b/>
        </w:rPr>
        <w:t>E. 3</w:t>
      </w:r>
    </w:p>
    <w:p>
      <w:r>
        <w:t>L'article 29 du Règlement 1999 prévoit en son alinéa 1 qu'au moment de la retraite, chaque personne assurée active peut exiger au maximum le versement de la moitié de son avoir de vieillesse sous la forme d'une indemnité en capital.</w:t>
      </w:r>
    </w:p>
    <w:p>
      <w:r>
        <w:t>L'alinéa 4 de cet article précise que le retrait des prestations de vieillesse sous la forme d'une indemnité de capital selon l'alinéa 1 est à annoncer à la</w:t>
      </w:r>
    </w:p>
    <w:p>
      <w:r>
        <w:t>- 5 -</w:t>
      </w:r>
    </w:p>
    <w:p>
      <w:r>
        <w:t>CPV/CAP au plus tard trois ans avant la retraite.</w:t>
      </w:r>
    </w:p>
    <w:p>
      <w:r>
        <w:t>Cette dernière disposition n'est pas claire, en ce sens qu'il n'est pas précisé si le délai de trois ans doit précéder l'âge normal de la retraite, ou s'il faut entendre le moment à partir duquel l'assuré peut au plus tôt prendre sa retraite.</w:t>
      </w:r>
    </w:p>
    <w:p>
      <w:r>
        <w:rPr>
          <w:b/>
        </w:rPr>
        <w:t>E. 4</w:t>
      </w:r>
    </w:p>
    <w:p>
      <w:r>
        <w:t>Cette disposition doit être interprétée conformément à la LPP.</w:t>
      </w:r>
    </w:p>
    <w:p>
      <w:r>
        <w:t>Selon l'article 37 alinéa 3 LPP, lorsque les dispositions réglementaires de l'institution de prévoyance le prévoit, l'ayant-droit peut exiger une prestation en capital au lieu de la rente de vieillesse, de veuve ou d'invalidité. S'il s'agit de prestations de vieillesse, l'assuré doit faire connaître sa volonté trois ans au moins avant la naissance du droit.</w:t>
      </w:r>
    </w:p>
    <w:p>
      <w:r>
        <w:t>Selon la jurisprudence, l'octroi d'un capital constitue une exception au principe du versement d'une rente. Le versement anticipé doit être demandé à l'institution d'assurance au plus tard avant l'exigibilité de la prestation de vieillesse selon le règlement. Si la naissance du droit aux prestations de vieillesse est échelonnée, le moment déterminant est celui où les premières prestations devraient être perçues (FF 1992 VI 256).</w:t>
      </w:r>
    </w:p>
    <w:p>
      <w:r>
        <w:t>Il ressort donc clairement du but visé par le délai de trois ans institué à l'article 37 alinéa 3 LPP que, par naissance du droit aux prestations, il faut entendre le moment à partir duquel l'assuré peut, au plus tôt, exiger de telles prestations de sa caisse de pension (ATF 124 V p. 278).</w:t>
      </w:r>
    </w:p>
    <w:p>
      <w:r>
        <w:rPr>
          <w:b/>
        </w:rPr>
        <w:t>E. 5</w:t>
      </w:r>
    </w:p>
    <w:p>
      <w:r>
        <w:t>En l'espèce, le demandeur a reçu un exemplaire du Règlement 1999. Il aurait pu demander des éclaircissements quant à l'interprétation de l'article 29 alinéa 4. A plus forte raison que lors de l'entrée en vigueur de ce règlement, daté du 13 novembre 1998, il était âgé de 58 ans; donc se posait pour lui la possibilité de bénéficier de cette nouvelle disposition.</w:t>
      </w:r>
    </w:p>
    <w:p>
      <w:r>
        <w:rPr>
          <w:b/>
        </w:rPr>
        <w:t>E. 6</w:t>
      </w:r>
    </w:p>
    <w:p>
      <w:r>
        <w:t>Il incombe aux caisses-maladie de porter à la connaissance de leurs assurés les modifications importantes de leurs dispositions statutaires et réglementaires (ATA D. du 1er février 2000 et jurisprudence citée).</w:t>
      </w:r>
    </w:p>
    <w:p>
      <w:r>
        <w:t>- 6 -</w:t>
      </w:r>
    </w:p>
    <w:p>
      <w:r>
        <w:t>La communication de ces modifications importantes a été considérée comme suffisante si elle était faite, par exemple, au moyen du journal de la caisse (RAMA 1990 p. 27; ATA S. du 10 février 1998).</w:t>
      </w:r>
    </w:p>
    <w:p>
      <w:r>
        <w:t>Ces principes peuvent être repris mutatis mutandis pour les modifications en matière de LPP.</w:t>
      </w:r>
    </w:p>
    <w:p>
      <w:r>
        <w:rPr>
          <w:b/>
        </w:rPr>
        <w:t>E. 7</w:t>
      </w:r>
    </w:p>
    <w:p>
      <w:r>
        <w:t>Des précisions importantes ont été communiquées aux assurés sous différentes formes. Tout d'abord par le biais du magazine Spectral, notamment celui de juin 2000. Bien qu'il apparaît douteux que le demandeur n'ait pas reçu, à l'instar des autres assurés, cet exemplaire de l'organe de la société, on ne peut pas exclure totalement cette hypothèse.</w:t>
      </w:r>
    </w:p>
    <w:p>
      <w:r>
        <w:t>Cependant, les informations sur la possibilité et la procédure à suivre pour substituer le versement d'une rente par un capital ont été publiées dans la revue du personnel CoopForte de décembre 2000. Selon le degré de la vraisemblance prépondérante applicable en assurances sociales, le demandeur a dû recevoir une exemplaire de cette revue. A tout le moins ne l'a-t-il pas contesté.</w:t>
      </w:r>
    </w:p>
    <w:p>
      <w:r>
        <w:rPr>
          <w:b/>
        </w:rPr>
        <w:t>E. 8</w:t>
      </w:r>
    </w:p>
    <w:p>
      <w:r>
        <w:t>Estimant d'une part, que l'assuré a eu à plusieurs reprises l'occasion de s'interroger sur l'interprétation et la portée de l'article 29 alinéa 4 du Règlement, au moment où il a reçu un exemplaire de celui-ci, mais aussi à la lecture de la revue CoopForte de décembre 2000, le tribunal de céans en conclut que l'intéressé n'était plus en droit de demander le versement en capital de sa rente de vieillesse lorsqu'il l'a fait, par lettre du 15 novembre 2002.</w:t>
      </w:r>
    </w:p>
    <w:p>
      <w:r>
        <w:t>En effet, le délai de trois ans pour demander le versement anticipé du capital vise à éviter l'anti-sélection, soit la détérioration inattendue de la structure des risques au détriment de l'assureur, due au fait que l'assuré choisit immédiatement avant l'exigibilité des prestations de vieillesse, le versement en capital (ATF 124 V p. 278; FF 1992 VI; 256 et 233, note 5 RJN 1993 p. 254).</w:t>
      </w:r>
    </w:p>
    <w:p>
      <w:r>
        <w:rPr>
          <w:b/>
        </w:rPr>
        <w:t>E. 9</w:t>
      </w:r>
    </w:p>
    <w:p>
      <w:r>
        <w:t>La demande sera ainsi rejetée. Vu la nature du litige, aucun émolument ne sera perçu (art. 73 al. 2 LPP; art. 89 G de la loi sur la procédure administrative du 12 septembre 1985 (LPA - E 5 10).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