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ATA/32/2015 vom 7. Januar 2015</w:t>
      </w:r>
    </w:p>
    <w:p>
      <w:r>
        <w:t>GE Cour de justice, 2015-01-07, FR</w:t>
      </w:r>
    </w:p>
    <w:p>
      <w:r>
        <w:rPr>
          <w:b/>
        </w:rPr>
        <w:t xml:space="preserve">Quelle: </w:t>
      </w:r>
      <w:r>
        <w:t>https://mcp.opencaselaw.ch/entscheid/ge_gerichte_ATA_32_2015</w:t>
      </w:r>
    </w:p>
    <w:p>
      <w:r>
        <w:t>FR: GE_GERICHTE ATA/32/2015 du 7 janvier 2015</w:t>
      </w:r>
    </w:p>
    <w:p>
      <w:r>
        <w:t>IT: GE_GERICHTE ATA/32/2015 del 7 gennaio 2015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</w:t>
      </w:r>
    </w:p>
    <w:p>
      <w:r>
        <w:t>Vu l’issue du litige, une indemnité de procédure de CHF 1'000.- sera allouée au recourant, à charge de l’État de Genève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