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ATA/32/2010 vom 2. März 2009</w:t>
      </w:r>
    </w:p>
    <w:p>
      <w:r>
        <w:t>GE Cour de justice, 2009-03-02, FR</w:t>
      </w:r>
    </w:p>
    <w:p>
      <w:r>
        <w:rPr>
          <w:b/>
        </w:rPr>
        <w:t xml:space="preserve">Quelle: </w:t>
      </w:r>
      <w:r>
        <w:t>https://mcp.opencaselaw.ch/entscheid/ge_gerichte_ATA_32_2010</w:t>
      </w:r>
    </w:p>
    <w:p>
      <w:r>
        <w:t>FR: GE_GERICHTE ATA/32/2010 du 2 mars 2009</w:t>
      </w:r>
    </w:p>
    <w:p>
      <w:r>
        <w:t>IT: GE_GERICHTE ATA/32/2010 del 2 marzo 2009</w:t>
      </w:r>
    </w:p>
    <w:p>
      <w:pPr>
        <w:pStyle w:val="Heading2"/>
      </w:pPr>
      <w:r>
        <w:t>Regeste</w:t>
      </w:r>
    </w:p>
    <w:p>
      <w:r>
        <w:t>Résumé: Contestation d'une taxation de l'AFC après avoir retiré "par gain de paix" le recours déposé à l'encontre de celle-ci en première instance. Présentation de motivations et de conclusions exorbitantes de l'objet de la contestation. Examen de la qualité pour recourir, non reconnue dans le cas d'espèce.</w:t>
      </w:r>
    </w:p>
    <w:p>
      <w:pPr>
        <w:pStyle w:val="Heading2"/>
      </w:pPr>
      <w:r>
        <w:t>Erwägungen</w:t>
      </w:r>
    </w:p>
    <w:p>
      <w:r>
        <w:rPr>
          <w:b/>
        </w:rPr>
        <w:t>E. 1</w:t>
      </w:r>
    </w:p>
    <w:p>
      <w:r>
        <w:t>Le recours a été interjeté en temps utile devant la juridiction compétente (art. 56A al. 2 de la loi sur l’organisation judiciaire du 22 novembre 1941 - LOJ - E 2 05 ; art. 63 al. 1 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 plaidant en personne.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- 4/7 - A/1937/2009</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(ATA/478/2008 du 16 septembre 2008). Une requête en annulation d’une décision doit par exemple être déclarée recevable dans la mesure où le recourant a de manière explicite manifesté son désaccord avec la décision, ainsi que sa volonté qu’elle ne développe pas d’effets juridiques (P. MOOR, Droit administratif, Vol. II, Berne 2002, 2ème éd., p. 674 n. 5.7.1.4).</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- 5/7 - A/1937/2009</w:t>
      </w:r>
    </w:p>
    <w:p>
      <w:r>
        <w:rPr>
          <w:b/>
        </w:rPr>
        <w:t>E. 3</w:t>
      </w:r>
    </w:p>
    <w:p>
      <w:r>
        <w:t>a. Dans le cas d'espèce, on peut déduire de l'écriture de M. S______ du 4 juin 2009, adressée Tribunal administratif, que l'intéressé entendait contester la décision du 6 mai 2009 de la CCRA prenant acte du retrait du recours interjeté auprès d'elle. Son mémoire, bien que rédigé en termes confus, mentionnait en exergue le numéro de référence de la procédure intentée par devant la CCRA (A/1371/2009 3 ICC) et une copie de la décision de celle-ci était jointe. b. Enfin M. S______ n'a pas pris de conclusions expresses dans son recours du</w:t>
      </w:r>
    </w:p>
    <w:p>
      <w:r>
        <w:rPr>
          <w:b/>
        </w:rPr>
        <w:t>E. 4</w:t>
      </w:r>
    </w:p>
    <w:p>
      <w:r>
        <w:t>Dans sa décision du 6 mai 2009, la CCRA a rayé la cause du rôle suite au retrait du recours par M. S______ le 27 avril 2009. La CCRA n'est dès lors aucunement entrée en matière sur le recours dont elle a été saisie.</w:t>
      </w:r>
    </w:p>
    <w:p>
      <w:r>
        <w:t>Les conclusions et motivations de M. S______ ne concernant toutefois que le fond du litige avec l'AFC (taxation ICC 2007) sont dès lors exorbitantes de l'objet de la contestation qui porte sur la décision d'extinction de la procédure litigieuse.</w:t>
      </w:r>
    </w:p>
    <w:p>
      <w:r>
        <w:rPr>
          <w:b/>
        </w:rPr>
        <w:t>E. 5</w:t>
      </w:r>
    </w:p>
    <w:p>
      <w:r>
        <w:t>Un retrait du recours a comme conséquence ordinaire de mettre fin à la saisine de l’autorité en charge de l’examen de l’affaire qui en est l’objet, si celle-ci n’a pas déjà statué, et entraîne la radiation de la cause du rôle (Arrêt du Tribunal fédéral 2P.294/2006 du 20 juin 2007 et les références citées ; Ordonnance du Tribunal fédéral 1C.483/2007 du 1er février 2008).</w:t>
      </w:r>
    </w:p>
    <w:p>
      <w:r>
        <w:t>Un retrait ou un désistement doit toutefois être pur et simple et ne doit pas avoir été obtenu par la contrainte. En effet, un retrait ou un désistement contraint est affecté d’un vice de la volonté qui entraîne son annulabilité lorsque la contrainte cesse (B. KNAPP, Précis de droit administratif, 4ème éd., Bâle 1991, n° 2082).</w:t>
      </w:r>
    </w:p>
    <w:p>
      <w:r>
        <w:rPr>
          <w:b/>
        </w:rPr>
        <w:t>E. 6</w:t>
      </w:r>
    </w:p>
    <w:p>
      <w:r>
        <w:t>Il appartenait ainsi à M. S______ d'attaquer cette décision en développant une argumentation topique en lien avec la motivation qui la sous-tend. Or celui-ci ne conteste pas, à juste titre, que la cause ait été rayée du rôle à la suite du retrait de son recours. Il n'a pas démenti avoir rédigé et envoyé une demande de retrait du recours à la CCRA le 27 avril 2009 et n'a pas allégué que son acte serait entaché d'un vice de consentement (dol, lésion ou erreur), ni davantage que la CCRA l'aurait interprété de manière arbitraire. Il a par ailleurs confirmé sa décision de retrait à l'AFC trois jours plus tard.</w:t>
      </w:r>
    </w:p>
    <w:p>
      <w:r>
        <w:t>C’est par conséquent à juste titre que la commission a pris acte dudit retrait, conformément à la demande écrite de M. S______, et qu’elle a rayé la cause du rôle.</w:t>
      </w:r>
    </w:p>
    <w:p>
      <w:r>
        <w:t>- 6/7 - A/1937/2009</w:t>
      </w:r>
    </w:p>
    <w:p>
      <w:r>
        <w:rPr>
          <w:b/>
        </w:rPr>
        <w:t>E. 7</w:t>
      </w:r>
    </w:p>
    <w:p>
      <w:r>
        <w:t>M. S______ a saisi le Tribunal administratif aux fins de voir modifier sa taxation ICC 2007. Par ses griefs, il remet en cause le bien-fondé de la décision de l'AFC du 2 mars 2009, comme il l'avait précédemment fait par devant la CCRA. Ayant toutefois retiré l'acte déposé auprès l'autorité de recours de première instance, il n'a pas permis à celle-ci d'entrer en matière sur les arguments de fond présentés.</w:t>
      </w:r>
    </w:p>
    <w:p>
      <w:r>
        <w:rPr>
          <w:b/>
        </w:rPr>
        <w:t>E. 8</w:t>
      </w:r>
    </w:p>
    <w:p>
      <w:r>
        <w:t>Il reste ainsi à examiner si M. S______ dispose d'un intérêt actuel à recourir.</w:t>
      </w:r>
    </w:p>
    <w:p>
      <w:r>
        <w:t>A teneur de l’art. 60 let. a et b LPA, les parties à la procédure qui a abouti à la décision attaquée et toute personne touchée directement par une décision et qui a un intérêt personnel digne de protection à ce qu’elle soit annulée ou modifiée, sont titulaires de la qualité pour recourir.</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 GRISEL, Traité de droit administratif, Neuchâtel, 1984, p. 900 ).</w:t>
      </w:r>
    </w:p>
    <w:p>
      <w:r>
        <w:rPr>
          <w:b/>
        </w:rPr>
        <w:t>E. 9</w:t>
      </w:r>
    </w:p>
    <w:p>
      <w:r>
        <w:t>Le recourant n'a pas d'intérêt actuel à recourir auprès du Tribunal administratif, ayant lui-même renoncé à faire trancher le litige par la CCRA. Partant, il n'a pas la qualité pour recourir et son recours sera déclaré irrecevable.</w:t>
      </w:r>
    </w:p>
    <w:p>
      <w:r>
        <w:rPr>
          <w:b/>
        </w:rPr>
        <w:t>E. 10</w:t>
      </w:r>
    </w:p>
    <w:p>
      <w:r>
        <w:t>Le recourant qui succombe sera condamné au paiement d'un émolument de CHF 400.- (art. 87 al. 1 LPA). Aucune indemnité ne sera allouée.</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