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ATA/329/2016 vom 19. April 2016</w:t>
      </w:r>
    </w:p>
    <w:p>
      <w:r>
        <w:t>GE Cour de justice, 2016-04-19, FR</w:t>
      </w:r>
    </w:p>
    <w:p>
      <w:r>
        <w:rPr>
          <w:b/>
        </w:rPr>
        <w:t xml:space="preserve">Quelle: </w:t>
      </w:r>
      <w:r>
        <w:t>https://mcp.opencaselaw.ch/entscheid/ge_gerichte_ATA_329_2016</w:t>
      </w:r>
    </w:p>
    <w:p>
      <w:r>
        <w:t>FR: GE_GERICHTE ATA/329/2016 du 19 avril 2016</w:t>
      </w:r>
    </w:p>
    <w:p>
      <w:r>
        <w:t>IT: GE_GERICHTE ATA/329/2016 del 19 aprile 2016</w:t>
      </w:r>
    </w:p>
    <w:p>
      <w:pPr>
        <w:pStyle w:val="Heading2"/>
      </w:pPr>
      <w:r>
        <w:t>Erwägungen</w:t>
      </w:r>
    </w:p>
    <w:p>
      <w:r>
        <w:rPr>
          <w:b/>
        </w:rPr>
        <w:t>E. 1</w:t>
      </w:r>
    </w:p>
    <w:p>
      <w:r>
        <w:t>La juridiction administrative qui rend la décision statue sur les frais de procédure et émoluments (art. 87 al. 1 de la loi sur la procédure administrative du 12 septembre 1985 - LPA - E 5 10).</w:t>
      </w:r>
    </w:p>
    <w:p>
      <w:r>
        <w:t>Elle peut, sur requête, allouer à la partie ayant eu entièrement ou partiellement gain de cause une indemnité pour les frais indispensables causés par le recours (art. 87 al. 2 LPA).</w:t>
      </w:r>
    </w:p>
    <w:p>
      <w:r>
        <w:t>Ces questions peuvent faire l’objet d’une réclamation dans le délai de trente jours dès la notification de la décision (87 al. 4 LPA).</w:t>
      </w:r>
    </w:p>
    <w:p>
      <w:r>
        <w:t>Interjetée en temps utile devant la juridiction compétente, la réclamation est recevable.</w:t>
      </w:r>
    </w:p>
    <w:p>
      <w:r>
        <w:rPr>
          <w:b/>
        </w:rPr>
        <w:t>E. 2</w:t>
      </w:r>
    </w:p>
    <w:p>
      <w:r>
        <w:t>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- 5/7 - A/611/2015</w:t>
      </w:r>
    </w:p>
    <w:p>
      <w:r>
        <w:rPr>
          <w:b/>
        </w:rPr>
        <w:t>E. 3</w:t>
      </w:r>
    </w:p>
    <w:p>
      <w:r>
        <w:t>; ATA/430/2010 du 22 juin 2010 et les références citées).</w:t>
      </w:r>
    </w:p>
    <w:p>
      <w:r>
        <w:t>b. La juridiction saisie dispose d’un large pouvoir d’appréciation également quant à la quotité de l’indemnité allouée et, de jurisprudence constante, celle-ci ne constitue qu’une participation aux honoraires d’avocat (ATA/633/2015 du 16 juin 2015 consid. 4 ; ATA/413/2015 du 10 mars 2015 consid. 3 et les arrêts cités),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t>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(ATA/392/2014 du 27 mai 2014 consid. 3e ; ATA/544/2010 du 4 août 2010).</w:t>
      </w:r>
    </w:p>
    <w:p>
      <w:r>
        <w:rPr>
          <w:b/>
        </w:rPr>
        <w:t>E. 4</w:t>
      </w:r>
    </w:p>
    <w:p>
      <w:r>
        <w:t>En l'espèce, le recourant estime avoir eu partiellement gain de cause dans le cadre de la procédure l'opposant au DIP suite au courrier de ce dernier du 16 juin 2014 l'informant qu'il allait être scolarisé dans une classe de transition à la rentrée 2014-2015. Or, ce courrier, peu importe la qualification qui peut lui être donnée, n'était pas l'objet de la procédure.</w:t>
      </w:r>
    </w:p>
    <w:p>
      <w:r>
        <w:t>En effet, la décision litigieuse visée par le recours était celle rendue le 16 juillet 2013 par le DIP refusant l'intégration de A______ en école ordinaire avec accompagnement, ainsi que sa prise en charge par le CMP de C______ 2. Comme relevé par la chambre administrative et confirmé par le Tribunal fédéral, cette décision concernait l'année-scolaire 2013-2014, qui s'est achevée fin juin 2014. À compter de cette période, l'intérêt actuel à faire trancher le différend n'existait plus, de sorte que le recourant ne disposait plus de la qualité pour recourir. Ce faisant, le recours a été déclaré irrecevable, sans que le litige ne soit tranché au fond. Le recourant n'a ainsi manifestement pas obtenu gain de cause, même partiellement, de sorte qu'il ne saurait prétendre à une quelconque indemnité de procédure.</w:t>
      </w:r>
    </w:p>
    <w:p>
      <w:r>
        <w:rPr>
          <w:b/>
        </w:rPr>
        <w:t>E. 5</w:t>
      </w:r>
    </w:p>
    <w:p>
      <w:r>
        <w:t>Conformément à la pratique constante de la juridiction de céans, aucun émolument ne sera perçu dans la présente cause (ATA/7/2015 du 6 janvier 2015 ;</w:t>
      </w:r>
    </w:p>
    <w:p>
      <w:r>
        <w:t>- 6/7 - A/611/2015 ATA/608/2012 du 11 septembre 2012). De même,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