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ATA/328/2021 vom 16. März 2021</w:t>
      </w:r>
    </w:p>
    <w:p>
      <w:r>
        <w:t>GE Cour de justice, 2021-03-16, FR</w:t>
      </w:r>
    </w:p>
    <w:p>
      <w:r>
        <w:rPr>
          <w:b/>
        </w:rPr>
        <w:t xml:space="preserve">Quelle: </w:t>
      </w:r>
      <w:r>
        <w:t>https://mcp.opencaselaw.ch/entscheid/ge_gerichte_ATA_328_2021</w:t>
      </w:r>
    </w:p>
    <w:p>
      <w:r>
        <w:t>FR: GE_GERICHTE ATA/328/2021 du 16 mars 2021</w:t>
      </w:r>
    </w:p>
    <w:p>
      <w:r>
        <w:t>IT: GE_GERICHTE ATA/328/2021 del 16 marzo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est la conformité au droit de la décision de l’OCPM du</w:t>
      </w:r>
    </w:p>
    <w:p>
      <w:r>
        <w:rPr>
          <w:b/>
        </w:rPr>
        <w:t>E. 3</w:t>
      </w:r>
    </w:p>
    <w:p>
      <w:r>
        <w:t>mars 2020, par laquelle celui-ci a refusé d’octroyer au recourant une autorisation de séjour avec activité lucrative salariée et a prononcé son renvoi de Suisse. 3)</w:t>
      </w:r>
    </w:p>
    <w:p>
      <w:r>
        <w:t>Le recourant critique le bien-fondé de la décision de l’OCIRT du 12 février 2020 refusant la demande d’autorisation de travail formée par son employeur, M. H______.</w:t>
      </w:r>
    </w:p>
    <w:p>
      <w:r>
        <w:t>Or, la décision de l’OCIRT a été confirmée, sur recours de M. H______, par jugement du TAPI du 23 septembre 2020, entré en force.</w:t>
      </w:r>
    </w:p>
    <w:p>
      <w:r>
        <w:t>Ainsi les griefs du recourant ayant trait aux critères de limitation et à la procédure de priorité se rapportent à la décision de l’OCIRT, qui ne fait pas l’objet de la présente procédure, de sorte qu’ils sont irrecevables 4)</w:t>
      </w:r>
    </w:p>
    <w:p>
      <w:r>
        <w:t>Il convient encore d’examiner si le recourant remplit les critères permettant l’octroi d’une autorisation de séjour pour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de l’ordonnance relative à l'admission, au séjour et à l'exercice d'une activité lucrative du 24 octobre 2007 (OASA - RS 142.201)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w:t>
      </w:r>
    </w:p>
    <w:p>
      <w:r>
        <w:t>- 9/13 - A/899/2020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C-5414/2013 du 30 juin 2015 consid. 5.1.4).</w:t>
      </w:r>
    </w:p>
    <w:p>
      <w:r>
        <w:t>e. 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w:t>
      </w:r>
    </w:p>
    <w:p>
      <w:r>
        <w:t>- 10/13 - A/899/2020 et professionnels spécialement intenses avec la Suisse, notablement supérieurs à ceux qui résultent d'une intégration ordinaire (ATF 134 II 10 consid. 4.3 ; 130 II 493 consid. 4.6).</w:t>
      </w:r>
    </w:p>
    <w:p>
      <w:r>
        <w:t>f. L'art. 30 al. 1 let. b LEI n'a pas pour but de soustraire le requérant aux conditions de vie du pays vers lequel le renvoi est ordonné,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g. La question est donc de savoir si, en cas de retour en Italie, les conditions de sa réintégration sociale, au regard de la situation personnelle, professionnelle et familiale de l'intéressé, seraient gravement compromises (ATF 142 I 152 consid. 5.1 ; 138 II 229 consid. 3.1).</w:t>
      </w:r>
    </w:p>
    <w:p>
      <w:r>
        <w:t>En l’espèce, le recourant n’invoque plus dans ses écritures les dangers qu’il courrait en Italie. Il ne soulève plus les problèmes de santé de son épouse, dont il indique être séparé. Il n’apporte pas d’éléments nouveaux, et ne critique pas le refus du TAPI d’entrer à nouveau en matière sur l’existence d’un cas d’extrême gravité.</w:t>
      </w:r>
    </w:p>
    <w:p>
      <w:r>
        <w:t>Le jugement attaqué a relevé à bon droit que la question des dangers encourus par le recourant en Italie avait été tranchée de manière définitive, à deux reprises et dans deux procédures distinctes, la première fois dans l’arrêt de la chambre de céans du 30 mai 2017 niant l’existence d’un cas de rigueur, la seconde dans l’arrêt du Tribunal administratif fédéral du 5 novembre 2018 rendu dans le procédure d’asile, constatant que le recourant n’établissait pas les menaces dont il disait être l’objet.</w:t>
      </w:r>
    </w:p>
    <w:p>
      <w:r>
        <w:t>Les conditions à l’octroi d’une autorisation de séjour pour cas d’extrême gravité ne sont ainsi pas réunies, et la décision de l’OCPM et le jugement du TAPI seront confirmés sur ce point également. 5)</w:t>
      </w:r>
    </w:p>
    <w:p>
      <w:r>
        <w:t>Le recourant conteste enfin la décision de renvoi.</w:t>
      </w:r>
    </w:p>
    <w:p>
      <w:r>
        <w:t>- 11/13 - A/899/2020</w:t>
      </w:r>
    </w:p>
    <w:p>
      <w:r>
        <w:t>a. L’art. 64 al. 1 let. c LEI dispose que les autorités compétentes rendent une décision de renvoi ordinaire à l’encontre d’un étranger auquel une autorisation est refusée ou dont l’autorisation, bien que requise, est révoquée ou n’est pas prolongée après un séjour autorisé. L’al. 2 de la même disposition précise que l’étranger qui séjourne illégalement en Suisse et qui dispose d’un titre de séjour valable délivré par un autre État lié par l’un des accords d’association à Schengen (État Schengen) est invité sans décision formelle à se rendre immédiatement dans cet État.</w:t>
      </w:r>
    </w:p>
    <w:p>
      <w:r>
        <w:t>b. En l’espèce, la décision de refus d’autorisation étant fondée, et aucun cas de rigueur n’étant réalisé, l’OCPM était tenu de prononcer le renvoi du recourant, ce que le TAPI a constaté à bon droit.</w:t>
      </w:r>
    </w:p>
    <w:p>
      <w:r>
        <w:t>Le grief sera écarté.</w:t>
      </w:r>
    </w:p>
    <w:p>
      <w:r>
        <w:t>Entièrement mal fondé, le recours sera rejeté. 6)</w:t>
      </w:r>
    </w:p>
    <w:p>
      <w:r>
        <w:t>Au vu de l’issue du litige, le recourant supportera un émolument de CHF 400.- et ne pourra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