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ATA/328/2018 vom 10. April 2018</w:t>
      </w:r>
    </w:p>
    <w:p>
      <w:r>
        <w:t>GE Cour de justice, 2018-04-10, FR</w:t>
      </w:r>
    </w:p>
    <w:p>
      <w:r>
        <w:rPr>
          <w:b/>
        </w:rPr>
        <w:t xml:space="preserve">Quelle: </w:t>
      </w:r>
      <w:r>
        <w:t>https://mcp.opencaselaw.ch/entscheid/ge_gerichte_ATA_328_2018</w:t>
      </w:r>
    </w:p>
    <w:p>
      <w:r>
        <w:t>FR: GE_GERICHTE ATA/328/2018 du 10 avril 2018</w:t>
      </w:r>
    </w:p>
    <w:p>
      <w:r>
        <w:t>IT: GE_GERICHTE ATA/328/2018 del 10 aprile 2018</w:t>
      </w:r>
    </w:p>
    <w:p>
      <w:pPr>
        <w:pStyle w:val="Heading2"/>
      </w:pPr>
      <w:r>
        <w:t>Erwägungen</w:t>
      </w:r>
    </w:p>
    <w:p>
      <w:r>
        <w:rPr>
          <w:b/>
        </w:rPr>
        <w:t>E. 12</w:t>
      </w:r>
    </w:p>
    <w:p>
      <w:r>
        <w:t>septembre 1985 - LPA - E 5 10). 2)</w:t>
      </w:r>
    </w:p>
    <w:p>
      <w:r>
        <w:t>Le contentieux fiscal en matière d’ICC est soumis aux dispositions de la LPFisc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LIFD.</w:t>
      </w:r>
    </w:p>
    <w:p>
      <w:r>
        <w:t>- 4/7 - A/567/2016 3)</w:t>
      </w:r>
    </w:p>
    <w:p>
      <w:r>
        <w:t>Selon l’art. 39 al. 1 LPFisc, la décision de taxation peut faire l’objet d’une réclamation dans les trente jours suivant sa notification.</w:t>
      </w:r>
    </w:p>
    <w:p>
      <w:r>
        <w:t>En matière d’IFD, le délai de réclamation suivant la notification de la taxation est également de trente jours (art. 132 al. 1 LIFD).</w:t>
      </w:r>
    </w:p>
    <w:p>
      <w:r>
        <w:t>Ni la LPFisc, ni la LIFD ne connaissent de suspension des délais de réclamation ou de recours. 4)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du 1er avril 2014 et les références citées). 5)</w:t>
      </w:r>
    </w:p>
    <w:p>
      <w:r>
        <w:t>En l’espèce, les bordereaux litigieux, datés du 14 juillet 2015, ont été reçus le 21 juillet 2015, selon les écritures des recourants. Le délai de réclamation de trente jours venait donc à échéance le jeudi 20 août 2015. Formée le 25 novembre 2015, leur réclamation est hors délai.</w:t>
      </w:r>
    </w:p>
    <w:p>
      <w:r>
        <w:t>Le fait d’avoir ignoré qu’ils devaient procéder à une déduction annuelle des travaux effectué n’est pas pertinent, ni crédible, s’agissant de contribuables propriétaires de plusieurs biens immobiliers, n’en étant pas à leur première expérience fiscale, à même de se renseigner sur le contenu de leurs obligations fiscales auprès des autorités compétentes et pouvant être assistés par des mandataires professionnellement qualifiés. Cette ignorance alléguée ne répond en aucun cas à la définition du cas de force majeure.</w:t>
      </w:r>
    </w:p>
    <w:p>
      <w:r>
        <w:t>Le fait de ne pas avoir été en mesure d’établir eux-mêmes le décompte annuel des travaux de rénovation ne peut être davantage considéré comme un cas de force majeure au sens de la jurisprudence précitée, permettant d’envisager une restitution de délai. Au vu des éléments du dossier, cette situation résulte de l’organisation des rapports des recourants avec l’atelier d’architecture qui menait les travaux et avec le copropriétaire du bien en cause et, dans ce contexte, rien</w:t>
      </w:r>
    </w:p>
    <w:p>
      <w:r>
        <w:t>- 5/7 - A/567/2016 n’indique qu’ils n’aient pas été en mesure de prendre les dispositions utiles pour se faire remettre chaque année un décompte des travaux ou de tenir eux-mêmes les comptes des coûts qu’ils avaient assumés. Ils ne peuvent ainsi se prévaloir d’aucun cas de force majeure. 6)</w:t>
      </w:r>
    </w:p>
    <w:p>
      <w:r>
        <w:t>Les recourants soutiennent que la décision de l’AFC-GE constitue une violation de l’interdiction de la double imposition intercantonale et avoir dès lors agi en temps utile conformément à la jurisprudence du Tribunal fédéral, soit dans le délai de trente jours suivant la notification de la dernière décision intercantonale, soit la décision sur réclamation de l’AFC-VD du 26 octobre 2015.</w:t>
      </w:r>
    </w:p>
    <w:p>
      <w:r>
        <w:t>Le principe de l'interdiction de la double imposition au sens de l'art. 127 al. 3 de la Constitution fédérale de la Confédération suisse du 18 avril 1999 (Cst. - RS 101)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134 I 303 consid. 2.1 ; 133 I 308 consid. 2.1 ; 132 I 29 consid. 2.1 ; 131 I 285 consid. 2.1).</w:t>
      </w:r>
    </w:p>
    <w:p>
      <w:r>
        <w:t>Toutefois, la correction d’une éventuelle double imposition intercantonale résultant des taxations effectuées par les autres cantons ne peut être faite que par le Tribunal fédéral, qui peut attraire les décisions en question et statuer sur la répartition, en application de l’art. 100 al. 5 de la loi fédérale sur le Tribunal fédéral du 17 juin 2005 (LTF - RS 173.110). Cette disposition ne s’applique qu’à la procédure de recours devant le TF. Les recourants ne peuvent ainsi s’en prévaloir au niveau cantonal. 7)</w:t>
      </w:r>
    </w:p>
    <w:p>
      <w:r>
        <w:t>Il reste à examiner si les recourants peuvent prétendre à une révision de l’IFD et de l’ICC 2013.</w:t>
      </w:r>
    </w:p>
    <w:p>
      <w:r>
        <w:t>Selon l’art. 147 al. 1 let. a à c LIFD et l’art.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et art. 55 al. 2 LPFisc).</w:t>
      </w:r>
    </w:p>
    <w:p>
      <w:r>
        <w:t>- 6/7 - A/567/2016</w:t>
      </w:r>
    </w:p>
    <w:p>
      <w:r>
        <w:t>En l’espèce, les recourants ne peuvent faire état d’aucun fait important ou preuve concluante découvert après le prononcé des bordereaux IFD et ICC 2013. Il ressort du dossier que les factures des travaux en cause ont été établies et réglées tout au long de l’année 2013, de sorte que les recourants étaient à même de disposer des éléments leur permettant de déterminer, ou de faire déterminer par un mandataire, le montant de la déduction fiscale. Il n’y a ainsi pas matière à révision. 8)</w:t>
      </w:r>
    </w:p>
    <w:p>
      <w:r>
        <w:t>Au vu de ce qui précède, le recours sera rejeté. 9)</w:t>
      </w:r>
    </w:p>
    <w:p>
      <w:r>
        <w:t>Vu l’issue du litige, un émolument de CHF 1’000.-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