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ATA/328/2015 vom 2. April 2015</w:t>
      </w:r>
    </w:p>
    <w:p>
      <w:r>
        <w:t>GE Cour de justice, 2015-04-02, FR</w:t>
      </w:r>
    </w:p>
    <w:p>
      <w:r>
        <w:rPr>
          <w:b/>
        </w:rPr>
        <w:t xml:space="preserve">Quelle: </w:t>
      </w:r>
      <w:r>
        <w:t>https://mcp.opencaselaw.ch/entscheid/ge_gerichte_ATA_328_2015</w:t>
      </w:r>
    </w:p>
    <w:p>
      <w:r>
        <w:t>FR: GE_GERICHTE ATA/328/2015 du 2 avril 2015</w:t>
      </w:r>
    </w:p>
    <w:p>
      <w:r>
        <w:t>IT: GE_GERICHTE ATA/328/2015 del 2 aprile 2015</w:t>
      </w:r>
    </w:p>
    <w:p>
      <w:pPr>
        <w:pStyle w:val="Heading2"/>
      </w:pPr>
      <w:r>
        <w:t>Erwägungen</w:t>
      </w:r>
    </w:p>
    <w:p>
      <w:r>
        <w:rPr>
          <w:b/>
        </w:rPr>
        <w:t>E. 4</w:t>
      </w:r>
    </w:p>
    <w:p>
      <w:r>
        <w:t>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6)</w:t>
      </w:r>
    </w:p>
    <w:p>
      <w:r>
        <w:t>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(art. 75 al. 1 let. c LEtr).</w:t>
      </w:r>
    </w:p>
    <w:p>
      <w:r>
        <w:t>- 6/8 - A/869/2015</w:t>
      </w:r>
    </w:p>
    <w:p>
      <w:r>
        <w:t>Lorsqu'une décision de renvoi ou d'expulsion de première instance a été notifiée, l'autorité compétente peut, afin d'en assurer l'exécution, mettre en détention la personne concernée pour les mêmes motifs (art. 76 al. 1 let. b ch. 1 LEtr). 7)</w:t>
      </w:r>
    </w:p>
    <w:p>
      <w:r>
        <w:t>En l’espèce, le recourant fait l’objet d’une décision d’interdiction d’entrée sur le territoire suisse valable jusqu'au 11 mars 2020, et qui lui a été valablement notifiée. Une décision définitive et exécutoire de renvoi a été prise à son encontre.</w:t>
      </w:r>
    </w:p>
    <w:p>
      <w:r>
        <w:t>Les conditions pour la mise en détention du recourant sont remplies. 8)</w:t>
      </w:r>
    </w:p>
    <w:p>
      <w:r>
        <w:t>Les démarches nécessaires à l'exécution du renvoi ou de l'expulsion doivent être entreprises sans tarder (art. 76 al. 4 LEtr). La détention administrative doit au surplus respecter le principe de la proportionnalité, garanti par l’art. 36 al. 3 Cst.</w:t>
      </w:r>
    </w:p>
    <w:p>
      <w:r>
        <w:t>a. S'agissant de la célérité des autorités suisses, les autorités suisses ont immédiatement contacté les autorités italiennes en vue de réadmission.</w:t>
      </w:r>
    </w:p>
    <w:p>
      <w:r>
        <w:t>C’est donc à juste titre que le TAPI a considéré qu'elles avaient respecté le principe de célérité, ce d’autant plus que l’officier de police a sollicité la mise en détention pour une durée d'un mois.</w:t>
      </w:r>
    </w:p>
    <w:p>
      <w:r>
        <w:t>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Le recourant a été placé en détention administrative le 13 mars 2015. Dès lors que la détention est due au non-respect d’une décision définitive et exécutoire d’interdiction d’entrée, la décision de mise en détention administrative - qui s’inscrit très largement dans le cadre des dix-huit mois de détention autorisés - respecte le cadre légal et est proportionnée. 9)</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- 7/8 - A/869/2015</w:t>
      </w:r>
    </w:p>
    <w:p>
      <w:r>
        <w:t>En l’espèce, le recourant ne tient pas grief à l’autorité intimée de violer ladite disposition et ne soutient pas que son renvoi serait impossible, illicite ou ne pourrait raisonnablement être exigé. Le dossier ne laisse par ailleurs apparaître aucun élément allant dans ce sens.</w:t>
      </w:r>
    </w:p>
    <w:p>
      <w:r>
        <w:t>S'agissant plus particulièrement du pays de destination, ainsi que le Tribunal administratif fédéral (ci-après : TAF) l’a retenu dans une cause similaire (arrêt du TAF D-6922/2014 du 4 décembre 2014), le renvoi du recourant vers l’Italie, au regard de ses caractéristiques personnelles (âge, état civil et état de santé notamment) ne contrevient à aucune norme juridique internationale et il est donc possible au sens de l’art. 80 al. 6 LEtr.</w:t>
      </w:r>
    </w:p>
    <w:p>
      <w:r>
        <w:t>La détention administrative du recourant ne contrevient pas à l’art. 80 al. 4 ss LEtr. 10) En tout état mal fondé, le recours sera donc rejeté en tant qu'il est recevable.</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