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ATA/328/2013 vom 28. Mai 2013</w:t>
      </w:r>
    </w:p>
    <w:p>
      <w:r>
        <w:t>GE Cour de justice, 2013-05-28, FR</w:t>
      </w:r>
    </w:p>
    <w:p>
      <w:r>
        <w:rPr>
          <w:b/>
        </w:rPr>
        <w:t xml:space="preserve">Quelle: </w:t>
      </w:r>
      <w:r>
        <w:t>https://mcp.opencaselaw.ch/entscheid/ge_gerichte_ATA_328_2013</w:t>
      </w:r>
    </w:p>
    <w:p>
      <w:r>
        <w:t>FR: GE_GERICHTE ATA/328/2013 du 28 mai 2013</w:t>
      </w:r>
    </w:p>
    <w:p>
      <w:r>
        <w:t>IT: GE_GERICHTE ATA/328/2013 del 28 maggio 2013</w:t>
      </w:r>
    </w:p>
    <w:p>
      <w:pPr>
        <w:pStyle w:val="Heading2"/>
      </w:pPr>
      <w:r>
        <w:t>Regeste</w:t>
      </w:r>
    </w:p>
    <w:p>
      <w:r>
        <w:t>Résumé: Les travaux de remise en état de deux logements de cinq pièces pour des montants respectifs de CHF 76'000.- et de CHF 47'897.- sont soumis à autorisation selon la loi sur les démolitions, transformations et rénovations de maisons d'habitation, de par leur nature et en raison de la hausse du loyer qui en a résulté. Lesdits travaux ne peuvent être qualifiés de simples travaux d'entretien mais au contraire de travaux de rénovation ou de transformation.</w:t>
      </w:r>
    </w:p>
    <w:p>
      <w:pPr>
        <w:pStyle w:val="Heading2"/>
      </w:pPr>
      <w:r>
        <w:t>Erwägungen</w:t>
      </w:r>
    </w:p>
    <w:p>
      <w:r>
        <w:rPr>
          <w:b/>
        </w:rPr>
        <w:t>E. 25</w:t>
      </w:r>
    </w:p>
    <w:p>
      <w:r>
        <w:t>septembre 2012 ; ATA/570/2010 du 31 août 2010 ; ATA/100/2010 du 16 février 2010).</w:t>
      </w:r>
    </w:p>
    <w:p>
      <w:r>
        <w:t>b. Selon l’art. 52 al. 1 LCI, toute pièce pouvant servir à l’habitation doit avoir en principe 9 m2, mais au minimum 6 m2 de surface. Elle doit être aérée et éclairée par un jour vertical ouvrant sur l’extérieur (art. 52 al. 2 LCI).</w:t>
      </w:r>
    </w:p>
    <w:p>
      <w:r>
        <w:t>c. L’art. 1 du règlement d’exécution de la loi générale sur le logement et la protection des locataires du 24 août 1992 (RGL - I 4 05.01) s’applique au calcul du nombre de pièces des logements soumis à la loi générale sur le logement et la protection des locataires du 4 décembre 1977 (LGL - I 4 05), sauf des logements d’utilité publique. La chambre de céans a déjà admis que les buts poursuivis par la LDTR et la LGL relevant d’un même souci de préserver l’habitat et de lutter contre la pénurie de logements à Genève, il était possible d’appliquer la disposition précitée, par analogie, au calcul du nombre de pièces selon la LDTR (ATA/826/2012 précité ; ATA/645/2012 précité ; ATA/322/2008 du 17 juin 2008 ; ATA/567/2005 du 16 août 2005).</w:t>
      </w:r>
    </w:p>
    <w:p>
      <w:r>
        <w:t>d. Pour calculer le nombre de pièces au sens de la LDTR, il faut se référer à l’art. 1 RGL, selon lequel toute chambre d’une surface inférieure à 9 m2 compte pour une demi-pièce (art. 1 al. 5 let. a RGL). En outre, selon l’art. 1 al. 5 let. c RGL, si l’espace communautaire qui regroupe le séjour, les coins à manger et la cuisine est égal ou supérieur à 25 m2, il compte pour deux pièces et s’il est inférieur à cette surface, il compte pour une pièce et demie.</w:t>
      </w:r>
    </w:p>
    <w:p>
      <w:r>
        <w:t>e. En l’espèce, et selon les plans des logements en cause, les appartements disposent de trois chambres (deux de 9,35 m2 et une de 15,40 m2). Quant aux espaces communautaires (séjour - coin à manger - cuisine), ceux-ci sont d’une surface totale d’au moins 36,6 m2 (séjour : 5,09 m x 4,99 m = 25,4 m2, cuisine : 3,14 m x 3,56 m = 11, 2 m2) soit une surface supérieure à 25 m2, ce qui signifie</w:t>
      </w:r>
    </w:p>
    <w:p>
      <w:r>
        <w:t>- 13/17 - A/956/2012 qu’ils comptent pour deux pièces. Avec les trois chambres, les logements comportent cinq pièces comme l’a retenu le département. C’est d’ailleurs ce qui résulte des différents baux à loyers portant sur les deux appartements. 3)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transformations (ATF 116 Ia 401 consid. 9 p. 414 ; Arrêt du Tribunal fédéral 1C_617/2012 du 3 mai 2013 consid. 2.3).</w:t>
      </w:r>
    </w:p>
    <w:p>
      <w:r>
        <w:t>b. Selon l’art. 3 al. 1 let. d et al.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p. 368).</w:t>
      </w:r>
    </w:p>
    <w:p>
      <w:r>
        <w:t>- 14/17 - A/956/2012 4)</w:t>
      </w:r>
    </w:p>
    <w:p>
      <w:r>
        <w:t>De jurisprudence constante il est admis, s’agissant de la distinction entre travaux d’entretien et de rénovation (ou transformation) consacrée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précité ; ATA/135/2011 du 1er mars 2011 et la jurisprudence citée ; A. MAUNOIR, La nouvelle LDTR au regard de la jurisprudence in RDAF 1996 p. 314 et la jurisprudence citée),</w:t>
      </w:r>
    </w:p>
    <w:p>
      <w:r>
        <w:t>- puis s’attacher ensuite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(ATA/645/2012 précité ; ATA/646/2010 du 21 septembre 2010 et les références citées), soit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5)</w:t>
      </w:r>
    </w:p>
    <w:p>
      <w:r>
        <w:t>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(ATA/40/2010 du</w:t>
      </w:r>
    </w:p>
    <w:p>
      <w:r>
        <w:rPr>
          <w:b/>
        </w:rPr>
        <w:t>E. 26</w:t>
      </w:r>
    </w:p>
    <w:p>
      <w:r>
        <w:t>janvier 2010 et les références citées).</w:t>
      </w:r>
    </w:p>
    <w:p>
      <w:r>
        <w:t>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(ATA/645/2012 précité).</w:t>
      </w:r>
    </w:p>
    <w:p>
      <w:r>
        <w:t>Il convient toutefois de tenir compte également des circonstances dans lesquelles les travaux sont accomplis, et notamment de leur accumulation en raison d’un défaut d’entretien courant des bâtiments concernés (ATA/646/2010 précité et les références citées).</w:t>
      </w:r>
    </w:p>
    <w:p>
      <w:r>
        <w:t>- 15/17 - A/956/2012</w:t>
      </w:r>
    </w:p>
    <w:p>
      <w:r>
        <w:t>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deux pièces et demie (ATA/645/2012 précité), de CHF 28’342.- pour un trois pièces (ATA/646/2010 précité), de CHF 38’213.- pour un trois pièces et demie (ATA/571/2010 du 31 août 2010 ; ATA/215/2008 du 6 mai 2008 ; ATA/278/2006 du 16 mai 2006). 6)</w:t>
      </w:r>
    </w:p>
    <w:p>
      <w:r>
        <w:t>A teneur de l’art. 44 al. 1 LDTR, celui qui contrevient aux dispositions de la LDTR est passible des mesures et des sanctions administratives prévues par les articles 129 à 139 LCI, et des peines plus élevées prévues par le code pénal.</w:t>
      </w:r>
    </w:p>
    <w:p>
      <w:r>
        <w:t>Selon l’art. 129 let. e LCI, le département peut ordonner, à l’égard des constructions, des installations ou d’autres choses la remise en état, la réparation, la modification, la suppression ou la démolition. 7)</w:t>
      </w:r>
    </w:p>
    <w:p>
      <w:r>
        <w:t>En l’espèce et après examen de l’ensemble des pièces figurant au dossier, les travaux entrepris dans les deux appartements en cause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w:t>
      </w:r>
    </w:p>
    <w:p>
      <w:r>
        <w:t>Ces travaux avaient pour but de remettre en état les appartements à l’occasion des changements de locataires par la réfection complète des sols, des murs, des plafonds, par le ponçage et la vitrification des parquets, la réfection des agencements de cuisine et de salle de bains, la douche et le WC du ______, chemin B______ et par la mise en conformité des installations électriques, et doivent donc être assimilés à des travaux de rénovation soumis à autorisation, en vertu de l’art. 3 al. 1 LDTR. Les nombreuses factures figurant au dossier corroborent cette remise à neuf. La vétusté des différents agencements ne suffit pas, à elle seule à justifier, la remise en état des deux appartements. De plus, il ressort de l’analyse des diverses interventions précédant les travaux de 2009 et 2011 que celles-ci étaient ponctuelles, espacées dans le temps, et sans commune mesure avec celles de 2009 et 2011 relatives aux travaux de rénovation. Le TAPI a donc constaté de manière exacte les faits sans abuser de son pouvoir d’appréciation. Le TAPI a par ailleurs procédé au raisonnement en deux temps imposé par la jurisprudence.</w:t>
      </w:r>
    </w:p>
    <w:p>
      <w:r>
        <w:t>Ces travaux doivent également être qualifiés d’importants sous l’angle de leur coût. Revenant à CHF 9’579.- par pièce l’an (CHF 47’897.- : 5) pour l’appartement du _______ chemin B______ et à CHF 15’200.-.- par pièce l’an (CHF 76’000.- : 5) pour l’appartement du ______, chemin B______, ils ne permettent pas de maintenir des loyers répondant aux besoins prépondérants de la</w:t>
      </w:r>
    </w:p>
    <w:p>
      <w:r>
        <w:t>- 16/17 - A/956/2012 population. De fait, ces derniers s’élevaient avant travaux à CHF 7’200.- (CHF 36’000.- : 5) la pièce/l’an s’agissant du ______, chemin B______ et à CHF 6’960.- la pièce/l’an (CHF 34’800.- : 5) s’agissant du ______, chemin B______, et dépassaient déjà le montant maximal du loyer correspondant aux besoins prépondérants de la population, arrêté à CHF 3’363.- la pièce l’an par l’Arrêté du conseil d’Etat du 21 juin 2006 précité, encore en vigueur à l’époque où les travaux ont été entrepris.</w:t>
      </w:r>
    </w:p>
    <w:p>
      <w:r>
        <w:t>L’arrêt cité par les copropriétaires (ATA/238/2006 précité) à l’appui de leur recours ne saurait modifier cette conclusion dans la mesure où dans cette procédure là les recourants ont eu gain de cause sur la question de la qualification des travaux, qui avaient été, de par leur nature, qualifiés de travaux d’entretien, de sorte que la présente cause est différente et que le grief tiré de l’égalité de traitement doit être également rejeté. 8)</w:t>
      </w:r>
    </w:p>
    <w:p>
      <w:r>
        <w:t>Les travaux effectués dans les deux appartements ayant été entrepris illégalement, le département devait ordonner la mise en conformité de ceux-ci, en application de l’art. 129 let. e LCI, par renvoi de l’art. 44 al. 1 LDTR, et ordonner aux copropriétaires de déposer une demande d’autorisation, comme ils auraient dû le faire avant d’entreprendre les travaux. Ladite mesure respecte le principe de proportionnalité eu égard aux manquements des copropriétaires. Le fait que les loyers aient été abaissés par la suite, lors de l’entrée de nouveaux locataires en été 2012, ne modifie en rien cette conclusion. 9)</w:t>
      </w:r>
    </w:p>
    <w:p>
      <w:r>
        <w:t>En tous points mal fondé, le recours sera rejeté. Un émolument de CHF 1’500.- sera mis à la charge de M. P______ et de Mme D______P______, pris conjointement et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