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ATA/324/2022 vom 29. März 2022</w:t>
      </w:r>
    </w:p>
    <w:p>
      <w:r>
        <w:t>GE Cour de justice, 2022-03-29, FR</w:t>
      </w:r>
    </w:p>
    <w:p>
      <w:r>
        <w:rPr>
          <w:b/>
        </w:rPr>
        <w:t xml:space="preserve">Quelle: </w:t>
      </w:r>
      <w:r>
        <w:t>https://mcp.opencaselaw.ch/entscheid/ge_gerichte_ATA_324_2022</w:t>
      </w:r>
    </w:p>
    <w:p>
      <w:r>
        <w:t>FR: GE_GERICHTE ATA/324/2022 du 29 mars 2022</w:t>
      </w:r>
    </w:p>
    <w:p>
      <w:r>
        <w:t>IT: GE_GERICHTE ATA/324/2022 del 29 marzo 2022</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t>La procédure administrative est en principe écrite, toutefois si le règlement et la nature de l'affaire le requièrent, l'autorité peut procéder oralement (art. 18 LPA). Le droit d'être entendu ne comprend pas le droit à une audition orale (ATF 140 I 285 consid. 6.3.1 ; arrêt du Tribunal fédéral 2D_51/2018 du 17 janvier 2019 consid. 4.1 ; ATA/1173/2020 du 24 novembre 2020 consid. 3a).</w:t>
      </w:r>
    </w:p>
    <w:p>
      <w:r>
        <w:t>b. En l'espèce, le recourant, qui n'a pas de droit à être entendu oralement, aurait pu faire usage de son droit d'être entendu par-devant l'autorité intimée en répondant par écrit au courrier du 10 février 2021 l'informant qu'elle entendait ne pas faire droit à sa requête, ce dont il s'est abstenu. Par la suite, il a pu s'exprimer par écrit tant devant l'instance précédente que devant la chambre de céans et a pu déposer toutes les pièces qu’il a jugées utiles, y compris après la réponse de l'OCPM. Il s'est abstenu de produire de nouvelles pièces.</w:t>
      </w:r>
    </w:p>
    <w:p>
      <w:r>
        <w:t>Il s’ensuit d'une part que ni l'OCPM ni le TAPI n'ont violé son droit d'être entendu et que, d'autre part, le dossier est complet et contient déjà les éléments nécessaires à l'examen de sa situation, sans que son audition, pas plus que celle des trois témoins dont les attestations figurent au dossier, ne soit de nature à changer l'appréciation de la chambre de céans.</w:t>
      </w:r>
    </w:p>
    <w:p>
      <w:r>
        <w:t>Il ne sera dès lors pas donné suite à ses demandes d'actes d'enquête.</w:t>
      </w:r>
    </w:p>
    <w:p>
      <w:r>
        <w:t>- 11/20 - A/1725/2021 4)</w:t>
      </w:r>
    </w:p>
    <w:p>
      <w:r>
        <w:t>Le recourant considère que tant la décision de l'OCPM que le jugement du TAPI sont entachés d'arbitraire, ou encore que ces autorité et instance ont violé leur pouvoir d'appréciation et son droit d'être entendu.</w:t>
      </w:r>
    </w:p>
    <w:p>
      <w:r>
        <w:t>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Il ressort ainsi de cette disposition que le recours à la chambre administrative a un effet dévolutif complet, si bien que celle-ci dispose d'un libre pouvoir d'examen en fait et en droit. Celui-ci implique la possibilité de guérir une violation du droit d'être entendu, même si l'autorité de recours n'a pas la compétence d'apprécier l'opportunité de la décision attaquée (ATF 145 I 167 consid. 4.4 ; 137 I 195 consid. 2.3.2), sous réserve que ledit vice ne revête pas un caractère de gravité (arrêts du Tribunal fédéral 8C_541/2017 du 14 mai 2018 consid. 2.5 ; ATA/791/2020 du 25 août 2020 consid. 6c et les références citées).</w:t>
      </w:r>
    </w:p>
    <w:p>
      <w:r>
        <w:t>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du 13 septembre 2016).</w:t>
      </w:r>
    </w:p>
    <w:p>
      <w:r>
        <w:t>c.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144 I 113 consid. 7.1 ; arrêt du Tribunal fédéral 8C_743/2020 du 30 juin 2021 consid. 2.2).</w:t>
      </w:r>
    </w:p>
    <w:p>
      <w:r>
        <w:t>d. Le droit d'être entendu garanti par l'art. 29 al. 2 Cst. ne contient pas d’obligation de discuter tous les griefs et moyens de preuve du recourant ; il suffit que le juge discute ceux qui sont pertinents pour l'issue du litige (ATF 141 III 28 consid. 3.2.4 ; arrêt du Tribunal fédéral 8C_24/2017 du 13 décembre 2017 consid. 2.2).</w:t>
      </w:r>
    </w:p>
    <w:p>
      <w:r>
        <w:t>- 12/20 - A/1725/2021 5)</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ce qui est le cas pour la Tunisie. 6) a. Le 1er janvier 2019 est entrée en vigueur une modification de la LEI, et de l’OASA. Conformément à l'art. 126 al. 1 LEI, les demandes déposées avant le 1er janvier 2019, comme en l'espèce, sont régies par l'ancien droit (arrêt du Tribunal fédéral 2C_1075/2019 du 21 avril 2020 consid. 1.1).</w:t>
      </w:r>
    </w:p>
    <w:p>
      <w:r>
        <w:t>b. Aux termes de l'art. 30 al. 1 let. b LEI, il est possible de déroger aux conditions d'admission (art. 18 à 29 LEI) notamment dans le but de tenir compte des cas individuels d'une extrême gravité ou d'intérêts publics majeurs.</w:t>
      </w:r>
    </w:p>
    <w:p>
      <w:r>
        <w:t>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À teneur de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w:t>
      </w:r>
    </w:p>
    <w:p>
      <w:r>
        <w:t>- 13/20 - A/1725/2021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(ATA/877/2021 du 31 août 2021 consid. 6a).</w:t>
      </w:r>
    </w:p>
    <w:p>
      <w:r>
        <w:t>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w:t>
      </w:r>
    </w:p>
    <w:p>
      <w:r>
        <w:t>- 14/20 - A/1725/2021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8) a. Processus administratif simplifié de normalisation des étrangers en situation irrégulière à Genève, l'opération Papyrus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(ATA/1288/2019 précité consid. 6a ; ATA/584/2017 du 23 mai 2017 consid. 4c).</w:t>
      </w:r>
    </w:p>
    <w:p>
      <w:r>
        <w:t>b. L'« opération Papyrus »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9) a. Selon l'art. 40 al. 1 LEI, les autorisations prévues aux art. 32 à 35 et 37 à 39 LEI sont octroyées par les cantons. Les compétences de la Confédération sont réservées notamment en matière de dérogations aux conditions d’admission (art. 30 LEI) et de procédure d’approbation (art. 99 LEI).</w:t>
      </w:r>
    </w:p>
    <w:p>
      <w:r>
        <w:t>Le Conseil fédéral détermine les cas dans lesquels les autorisations de courte durée, de séjour ou d’établissement ainsi que les décisions préalables des autorités cantonales du marché du travail sont soumises à l’approbation du SEM (art. 99 al. 1 LEI). Le SEM peut refuser d’approuver une décision d’une autorité administrative cantonale ou d’une autorité cantonale de recours ; il peut également en limiter la durée de validité ou l’assortir de conditions et de charges (al. 2).</w:t>
      </w:r>
    </w:p>
    <w:p>
      <w:r>
        <w:t>Il ressort de l'art. 85 al. 1 OASA que le SEM a la compétence d’approuver l’octroi et le renouvellement des autorisations de courte durée et de séjour, l’octroi de l’établissement ainsi que les décisions préalables des autorités cantonales du marché du travail.</w:t>
      </w:r>
    </w:p>
    <w:p>
      <w:r>
        <w:t>- 15/20 - A/1725/2021</w:t>
      </w:r>
    </w:p>
    <w:p>
      <w:r>
        <w:t>Le SEM peut refuser son approbation, la limiter dans le temps ou l’assortir de conditions et de charges (art. 86 al. 1 OASA). Il refuse d’approuver l'octroi de l’autorisation initiale et le renouvellement lorsque les conditions d’admission ne sont plus remplies ou lorsque des motifs de révocation au sens de l’art. 62 LEI existent contre une personne (art. 86 al. 2 let. a OASA). Le titre de séjour ne peut être établi que lorsque le SEM a donné son approbation (al. 5).</w:t>
      </w:r>
    </w:p>
    <w:p>
      <w:r>
        <w:t>b. Sous réserve des exceptions prévues à l'art. 32 de la loi sur Tribunal administratif fédéral du 17 juin 2005 (LTAF - RS 173.32), le TAF, en vertu de l'art. 31 LTAF, connaît des recours contre les décisions au sens de l'art. 5 de la loi fédérale sur la procédure administrative du 20 décembre 1968 (PA - RS 172.021)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TAF, qui statue comme autorité précédant le Tribunal fédéral (art. 1 al. 2 LTAF en relation avec l'art. 83 let. c ch. 2 a contrario LTF). A moins que la LTAF n'en dispose autrement, la procédure devant le TAF est régie par la PA ( art. 37 LTAF ; arrêt du TAF F-5641/2017 du 28 février 2019). 10) En l'espèce, le SEM a, le 25 mars 2020, informé le recourant, via son conseil, qu'il avait retourné le dossier à l'OCPM pour nouvel examen de sa situation. Contrairement à ce que soutient le recourant, le SEM a, en page 2 dudit courrier, figurant dans le dossier de l'OCPM, motivé la raison pour laquelle il invitait l'autorité cantonale à rejeter sa demande d'autorisation de séjour, à savoir que les attestations signées par MM. J______, I______ et F______ ne pouvaient pas être considérées comme des témoignages « engageants », puisque le recourant n'avait pas été employé par ces personnes. Par ailleurs, les justificatifs de présence ne pouvaient pas reposer seulement sur les preuves de catégorie B. Le SEM avait conclu que le recourant n'avait prouvé son séjour continu à Genève que depuis l'année 2015.</w:t>
      </w:r>
    </w:p>
    <w:p>
      <w:r>
        <w:t>Le SEM n'a ce faisant a priori pas formellement rendu une décision de refus d'approbation au sens de l'art. 86 al. 1 OASA, de sorte qu'il n'est pas certain que la voie d'un recours au TAF ait été ouverte. Cette question souffrira de demeurer indécise.</w:t>
      </w:r>
    </w:p>
    <w:p>
      <w:r>
        <w:t>Il n'en demeure en effet pas moins que le SEM a examiné la question de la valeur probante des attestations de MM. J______, I______ et F______, de sorte que l'OCPM était lié par cette appréciation au retour du dossier. L'instruction donnée à l'OCPM était claire, la demande d'autorisation devait être rejetée si le recourant ne fournissait pas de preuve objective d'un séjour continu à compter de 2008/2009 à 2015. Or, le recourant, en réponse à la demande de l'OCPM du 6 juillet 2020 de lui transmettre de nouveaux justificatifs de séjour pour la période de 2010 à 2014, a répondu le 30 octobre 2020 que cette autorité était en</w:t>
      </w:r>
    </w:p>
    <w:p>
      <w:r>
        <w:t>- 16/20 - A/1725/2021 possession de tous les documents attestant de sa présence en Suisse durant « toutes les années annoncées ». Il n'a en particulier à aucun moment prétendu avoir été l'employé de l'une ou l'autre des trois personnes précitées, ni fourni par exemple de contrat de travail ou de fiche de salaire en lien avec de tels emplois. Il n'a pas soutenu que l'une et/ou l'autre de ces personnes serait à même de témoigner d'un tel emploi s'inscrivant dans la durée, et non simplement de « saison », comme « partenaire », ni qu'il se serait inscrit de manière discontinue pendant les six à sept ans ciblés par le SEM, voir les cinq ans retenus par l'OCPM. Il ressort au contraire des attestations fournies par ces trois personnes et du courriel adressé par le conseil du recourant à l'OCPM le 26 septembre 2019 qu'elles ont été les fournisseurs de marchandises « en saison » du kiosque G______. Ainsi, quand bien même elles auraient eu des contacts directs avec le recourant dans ce cadre, que ce soit par téléphone au moment des commandes ou lors des livraisons, elles ne seraient pas en mesure de témoigner d'une présence effective, continue et à l'année du recourant à Genève.</w:t>
      </w:r>
    </w:p>
    <w:p>
      <w:r>
        <w:t>Dans ces conditions, l'audition de ces trois personnes, pas plus que celle du recourant, n'est de nature à modifier l'appréciation du SEM, puis de l'OCPM, quant à la force probante des attestations signées par MM. J______, I______ et F______. Elle ne s'avérait pas utile ni nécessaire tant devant le TAPI que la chambre de céans.</w:t>
      </w:r>
    </w:p>
    <w:p>
      <w:r>
        <w:t>Ainsi, faute pour le recourant d'avoir amené un quelconque élément probant supplémentaire d'une durée de séjour ininterrompu de plus de dix ans au jour du dépôt de sa demande du 6 avril 2018, l'OCPM a considéré à juste titre et sans violer son pouvoir d'appréciation qu'il ne satisfaisait pas à la condition de la durée de séjour requise, y compris et en particulier sous l'angle de l'opération « Papyrus ».</w:t>
      </w:r>
    </w:p>
    <w:p>
      <w:r>
        <w:t>Pour le surplus, comme retenu à juste titre par le TAPI, le recourant ne peut pas se prévaloir d'une intégration sociale exceptionnelle. Le fait de travailler pour ne pas dépendre de l'aide sociale, étant toutefois relevé que le recourant ne prétend ni ne démontre s'être acquitté des charges sociales ou qu'un employeur l'ait fait en sa faveur, d'éviter de commettre des actes répréhensibles et de s'efforcer d'apprendre au moins la langue nationale reste dans ce qui peut être attendu de tout étranger souhaitant obtenir la régularisation de ses conditions de séjour. Le recourant ne soutient pas avoir créé en Suisse des liens dépassant en intensité ce qui peut être raisonnablement attendu d’étrangers ayant passé un nombre d'années équivalent dans le pays.</w:t>
      </w:r>
    </w:p>
    <w:p>
      <w:r>
        <w:t>Il est né en Tunisie où il a passé son enfance, son adolescence, ainsi que la majeure partie de sa vie d’adulte. Il ne conteste pas que des membres de sa famille y vivent, ce que tendent à démontrer les visas d'un mois sollicités et un billet d'avion pour y retourner en 2019 et 2020.</w:t>
      </w:r>
    </w:p>
    <w:p>
      <w:r>
        <w:t>- 17/20 - A/1725/2021</w:t>
      </w:r>
    </w:p>
    <w:p>
      <w:r>
        <w:t>Il pourra, de retour en Tunisie, quand bien même son retour nécessitera une période de réadaptation, mettre en avant les connaissances et compétences acquises en Suisse. Il ne fait ainsi état ni ne démontre qu'il se trouverait dans une situation de détresse personnelle devant justifier l'octroi d'une exception aux mesures de limitation.</w:t>
      </w:r>
    </w:p>
    <w:p>
      <w:r>
        <w:t>En conséquence, l'OCPM n'a pas abusé de son pouvoir d'appréciation en retenant que le recourant ne remplissait pas les critères du cas de rigueur au sens des art. 30 LEI et 31 OASA, ce que le TAPI a confirmé à raison après analyse de tous les éléments et griefs pertinents. 11)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b. Le recourant ne soutient pas que l'exécution de son renvoi, que se devait d'ordonner l'OCPM compte tenu du refus de délivrance d'un titre de séjour, serait impossible, illicite ou ne pourrait être raisonnablement exigé.</w:t>
      </w:r>
    </w:p>
    <w:p>
      <w:r>
        <w:t>En tout point infondé, son recours sera rejeté. 12) 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