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ATA/323/2020 vom 7. April 2020</w:t>
      </w:r>
    </w:p>
    <w:p>
      <w:r>
        <w:t>GE Cour de justice, 2020-04-07, FR</w:t>
      </w:r>
    </w:p>
    <w:p>
      <w:r>
        <w:rPr>
          <w:b/>
        </w:rPr>
        <w:t xml:space="preserve">Quelle: </w:t>
      </w:r>
      <w:r>
        <w:t>https://mcp.opencaselaw.ch/entscheid/ge_gerichte_ATA_323_2020</w:t>
      </w:r>
    </w:p>
    <w:p>
      <w:r>
        <w:t>FR: GE_GERICHTE ATA/323/2020 du 7 avril 2020</w:t>
      </w:r>
    </w:p>
    <w:p>
      <w:r>
        <w:t>IT: GE_GERICHTE ATA/323/2020 del 7 aprile 2020</w:t>
      </w:r>
    </w:p>
    <w:p>
      <w:pPr>
        <w:pStyle w:val="Heading2"/>
      </w:pPr>
      <w:r>
        <w:t>Erwägungen</w:t>
      </w:r>
    </w:p>
    <w:p>
      <w:r>
        <w:rPr>
          <w:b/>
        </w:rPr>
        <w:t>E. 12</w:t>
      </w:r>
    </w:p>
    <w:p>
      <w:r>
        <w:t>septembre 1985 LPA E 5 10 ; art. 10 al. 1 de la loi d'application de la loi fédérale sur les étrangers du 16 juin 1988 - LaLEtr - F 2 10). 2)</w:t>
      </w:r>
    </w:p>
    <w:p>
      <w:r>
        <w:t>Selon l'art. 10 al. 2 1ère phr. LaLEtr, la chambre administrative doit statuer dans les dix jours qui suivent sa saisine. Ayant reçu le recours le 1er avril 2020 et statuant ce jour, elle respecte ce délai. 3)</w:t>
      </w:r>
    </w:p>
    <w:p>
      <w:r>
        <w:t>Est litigieuse sur le fond la durée de l’interdiction territoriale.</w:t>
      </w:r>
    </w:p>
    <w:p>
      <w:r>
        <w:t>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w:t>
      </w:r>
    </w:p>
    <w:p>
      <w:r>
        <w:t>L'art. 6 al. 3 LaLEtr prévoit que l'étranger peut être contraint à ne pas pénétrer dans une région déterminée, aux conditions prévues à l'art. 74 LEI, notamment à la suite d’une condamnation pour vol, brigandage, lésions corporelles intentionnelles, dommages à la propriété ou pour une infraction à la LStup.</w:t>
      </w:r>
    </w:p>
    <w:p>
      <w:r>
        <w:t>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L'art. 74 LEI ne précise pas la durée de la mesure. Selon le Tribunal fédéral, celle-ci doit dans tous les cas répondre au principe de proportionnalité, soit être adéquate au but visé et rester dans un rapport raisonnable avec celui-ci (ATF 142 II 1 consid. 2.3). Ainsi, la mesure ne peut pas être ordonnée pour une durée indéterminée (arrêts du Tribunal fédéral 2C_197/2013 du 31 juillet 2013 consid. 4.1 ; 2C_1044/2012 du 5 novembre 2012 consid. 3.3). Des durées</w:t>
      </w:r>
    </w:p>
    <w:p>
      <w:r>
        <w:t>- 7/10 - A/877/2020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 4)</w:t>
      </w:r>
    </w:p>
    <w:p>
      <w:r>
        <w:t>Le principe de la proportionnalité, garanti par les art. 5 al. 2 et 36 al. 3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 ; ATA/569/2015 du 2 juin 2015 ; Pascal MAHON, Droit constitutionnel, vol. II, 2014, n. 38, n. 126, n. 137 ; Andreas AUER/ Giorgio MALINVERNI/ Michel HOTTELIER, Droit constitutionnel suisse, vol. II, 3ème éd., 2013, n. 226 ss ; Thierry TANQUEREL, op. cit., n. 552 ss). 5) a. En l'espèce, le principe de la mesure d'interdiction n'est, à juste titre, pas contesté, dès lors que le recourant est dépourvu de toute autorisation de séjour en Suisse et qu'il a fait l'objet d'une procédure pénale pour infraction à la LStup.</w:t>
      </w:r>
    </w:p>
    <w:p>
      <w:r>
        <w:t>b. S'agissant de la proportionnalité de la mesure, la chambre administrative relèvera tout d'abord que le recourant a déjà vu son recours partiellement admis par le TAPI, s'agissant de l'étendue territoriale de la mesure, uniquement en raison de la situation exceptionnelle actuelle liée à l'épidémie du Covid-19.</w:t>
      </w:r>
    </w:p>
    <w:p>
      <w:r>
        <w:t>En l'espèce, l'appréciation telle que l'a opérée le TAPI ne prête pas le flanc à la critique. L'intéressé n'a aucun titre de séjour en Suisse. Il est sans ressources et sans domicile à Genève quand bien même il prétend loger chez son amie à la rue Z______, dont il a refusé de donner le nom.</w:t>
      </w:r>
    </w:p>
    <w:p>
      <w:r>
        <w:t>Le recourant a déjà été condamné de manière définitive à trois reprises depuis 2015, dans les cantons de Vaud et Valais, dont à une reprise pour violation de la LStup, en janvier 2015, condamnation dont le sursis semble avoir été révoqué. Il a également admis avoir des antécédents pénaux en Italie. Il a une nouvelle fois été arrêté à Genève en février 2020, à un endroit notoirement connu</w:t>
      </w:r>
    </w:p>
    <w:p>
      <w:r>
        <w:t>- 8/10 - A/877/2020 pour être une place de revente de stupéfiants. De plus, le recourant a reconnu, lors de son audition, avoir fui à l'arrivée de la police, avoir détenu nonante pilules d'ecstasy – soit une quantité non négligeable, sa version selon laquelle il offrait cette drogue étant pour le moins sujette à caution – et séjourné illégalement en Suisse.</w:t>
      </w:r>
    </w:p>
    <w:p>
      <w:r>
        <w:t>Comme déjà retenu par la jurisprudence de la chambre administrative, notamment dans l'ATA/1758/2019 du 4 décembre 2019, il s'agit, dans le cadre de la présente procédure, non pas d'établir avec précision les antécédents pénaux du recourant, mais uniquement d'estimer la menace à la sécurité et à l'ordre publics qu'il constitue pour le canton de Genève, en la mettant en balance avec son intérêt privé à pouvoir y circuler librement. Dans cette mesure, au vu des trois inscriptions figurant dans son casier judiciaire et de ses antécédents pénaux en Italie ainsi que de la variété de lieux dans lesquels des procédures ont été ouvertes, dont certaines ayant abouti à des condamnations définitives, notamment pour infraction à la LStup, il apparaît que la présence du recourant présente des risques sécuritaires non négligeables ; ceci doit être retenu même si sa dernière interpellation n'a pas abouti, à ce jour, à une condamnation définitive, compte tenu du fait que la matérialité des actes qui lui sont reprochés est globalement établie.</w:t>
      </w:r>
    </w:p>
    <w:p>
      <w:r>
        <w:t>Quant à l'ATA/764/2018 auquel se réfère le recourant, il sera relevé que son état de fait diffère du présent cas, dans la mesure notamment où l'intéressé impliqué dans ladite procédure n'avait pas de casier judiciaire, les deux condamnations le visant n'étant pas définitives.</w:t>
      </w:r>
    </w:p>
    <w:p>
      <w:r>
        <w:t>Au vu de toutes ces circonstances, l'intérêt privé du recourant à pouvoir pénétrer dans la zone circonscrite par le TAPI dans les douze prochains mois cède le pas à l'intérêt public à le tenir éloigné de cette dernière pendant cette durée. Par conséquent, le fait d'avoir fixé à douze mois la durée de la mesure n'apparait pas disproportionné.</w:t>
      </w:r>
    </w:p>
    <w:p>
      <w:r>
        <w:t>Il résulte de ce qui précède que le recours, entièrement infondé, sera rejeté. 6.</w:t>
      </w:r>
    </w:p>
    <w:p>
      <w:r>
        <w:t>Vu la nature de la cause, aucun émolument ne sera perçu (art. 87 al. 1 de la loi sur la procédure administrative du 12 septembre 1985 - LPA - E 5 10 et art. 12 du règlement sur les frais, émoluments et indemnités en procédure administrative du 30 juillet 1986 - RFPA - E 5 10.03). Vu l'issue du litige, aucune indemnité de procédure ne sera allouée (art. 87 al. 2 LPA).</w:t>
      </w:r>
    </w:p>
    <w:p>
      <w:r>
        <w:t>* * * * *</w:t>
      </w:r>
    </w:p>
    <w:p>
      <w:r>
        <w:t>- 9/10 - A/877/2020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