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ATA/321/2018 vom 10. April 2018</w:t>
      </w:r>
    </w:p>
    <w:p>
      <w:r>
        <w:t>GE Cour de justice, 2018-04-10, FR</w:t>
      </w:r>
    </w:p>
    <w:p>
      <w:r>
        <w:rPr>
          <w:b/>
        </w:rPr>
        <w:t xml:space="preserve">Quelle: </w:t>
      </w:r>
      <w:r>
        <w:t>https://mcp.opencaselaw.ch/entscheid/ge_gerichte_ATA_321_2018</w:t>
      </w:r>
    </w:p>
    <w:p>
      <w:r>
        <w:t>FR: GE_GERICHTE ATA/321/2018 du 10 avril 2018</w:t>
      </w:r>
    </w:p>
    <w:p>
      <w:r>
        <w:t>IT: GE_GERICHTE ATA/321/2018 del 10 aprile 2018</w:t>
      </w:r>
    </w:p>
    <w:p>
      <w:pPr>
        <w:pStyle w:val="Heading2"/>
      </w:pPr>
      <w:r>
        <w:t>Erwägungen</w:t>
      </w:r>
    </w:p>
    <w:p>
      <w:r>
        <w:rPr>
          <w:b/>
        </w:rPr>
        <w:t>E. 12</w:t>
      </w:r>
    </w:p>
    <w:p>
      <w:r>
        <w:t>septembre 1985 - LPA - E 5 10). 2)</w:t>
      </w:r>
    </w:p>
    <w:p>
      <w:r>
        <w:t>Au vu des conclusions prises, le litige ne porte plus que sur le refus du département de délivrer la DD 109’911 concernant la terrasse et sur l’ordre de remise en état, contenus dans la décision du 17 octobre 2016. 3)</w:t>
      </w:r>
    </w:p>
    <w:p>
      <w:r>
        <w:t>Selon le recourant, le département ferait preuve de formalisme excessif en exigeant la signature du propriétaire pour délivrer l’autorisation de construire requise.</w:t>
      </w:r>
    </w:p>
    <w:p>
      <w:r>
        <w:t>a. Selon l’art. 11 al. 4 du règlement d’application de la loi sur les constructions et les installations diverses du 27 février 1978 (RCI - L 5 05.01), toutes les demandes d’autorisation doivent être datées et signées par le propriétaire de l’immeuble intéressé, ainsi que par le requérant ou l'éventuel mandataire professionnellement qualifié, conformément à l’art. 2 al. 3 de la loi sur les constructions et les installations diverses du 14 avril 1988 (LCI - L 5 05). Ce texte est parfaitement clair et n’est pas sujet à interprétation (ATA/588/2017 du 23 mai 2017).</w:t>
      </w:r>
    </w:p>
    <w:p>
      <w:r>
        <w:t>b. 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 même l’ouvrage y donne à tout le moins, son assentiment de principe (arrêt du Tribunal fédéral 1C_7/2009 du 20 août 2009 consid. 5.2 ; ATA/500/2011 du 27 juillet 2011).</w:t>
      </w:r>
    </w:p>
    <w:p>
      <w:r>
        <w:t>En l’espèce, le propriétaire de la parcelle concernée a dénoncé lui-même au département les travaux réalisés sans autorisation et s’est opposé par trois fois au maintien des installations et à tous travaux futurs.</w:t>
      </w:r>
    </w:p>
    <w:p>
      <w:r>
        <w:t>- 9/15 - A/3940/2016</w:t>
      </w:r>
    </w:p>
    <w:p>
      <w:r>
        <w:t>C’est donc à juste titre que le département, en l’absence de la signature du propriétaire, a refusé l’autorisation de construire conformément à l’art. 11 al. 4 RCI et le grief du recourant sera écarté. 4)</w:t>
      </w:r>
    </w:p>
    <w:p>
      <w:r>
        <w:t>Selon le recourant, le principe de la bonne foi s’oppose toutefois à cette conclusion. Par le passé, le département n’aurait pas eu de telles exigences, notamment lors de la délivrance des APA 3______ et 4______.</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arrêts du Tribunal fédéral 2C_934/2016 du 13 mars 2017 consid. 3.1 ; 2C_1013/2015 du 28 avril 2016 consid.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(ATA/1239/2017 du 29 août 2017 ; Ulrich HÄFELIN/Georg MÜLLER/Felix UHLMANN, Allgemeines Verwaltungsrecht, 2016, 7ème éd., p. 141 ss et p. 158 n. 699).</w:t>
      </w:r>
    </w:p>
    <w:p>
      <w:r>
        <w:t>Ainsi, la protection de la bonne foi ne s'applique pas si l'intéressé connaissait l'inexactitude de l'indication ou aurait pu la connaître en consultant simplement les dispositions légales pertinentes (ATF 135 III 489 ; Thierry TANQUEREL, Manuel de droit administratif, 2011, p. 194 n. 571).</w:t>
      </w:r>
    </w:p>
    <w:p>
      <w:r>
        <w:t>En l’espèce, la première autorisation, qui concernait des aménagements dans les deux parcelles, a été délivrée en 1988, au nom de la SI qui était propriétaire d’une des parcelles, le frère du recourant étant propriétaire de l’autre. La seconde autorisation, qui concernait également les deux parcelles, a été délivrée à la SI et au recourant en 1992, alors que les propriétaires étaient les mêmes qu’en 1988. Les deux propriétaires actuels des parcelles ont été tour à tour propriétaires des actions de la SI. Le recourant et son frère ont été copropriétaires de la parcelle concernée. Il est dès lors possible qu’une informalité ait pu être commise par le département dans le contrôle des documents fournis pour la délivrance de l’une ou l’autre des autorisations précitées.</w:t>
      </w:r>
    </w:p>
    <w:p>
      <w:r>
        <w:t>- 10/15 - A/3940/2016</w:t>
      </w:r>
    </w:p>
    <w:p>
      <w:r>
        <w:t>Cela étant, même si cela devait être le cas, les conditions rappelées ci-dessus s’agissant du principe de la bonne foi ne sont pas remplies. Ainsi, notamment, le recourant ne saurait ignorer qu’il n’est pas propriétaire de la parcelle puisque, indépendamment du litige qui l’oppose à son frère, il n’est pas inscrit au registre foncier. Il a d’ailleurs lui-même affirmé que cette situation était motivée par des raisons fiscales. Il ne saurait non plus ignorer les exigences légales en matière de construction, la requête étant de plus également signée par son architecte, mandataire professionnellement qualifié.</w:t>
      </w:r>
    </w:p>
    <w:p>
      <w:r>
        <w:t>En conséquence, la décision en tant qu’elle refuse la délivrance d’une autorisation de construire portant sur la transformation de la terrasse doit être confirmée et le grief du recourant écarté. 5)</w:t>
      </w:r>
    </w:p>
    <w:p>
      <w:r>
        <w:t>S’agissant de l’ordre de remise en état, le recourant estime qu’il viole la « garantie de la situation acquise » ainsi que le principe de la proportionnalité. Il ne conteste donc pas l’illégalité des travaux réalisés, mais uniquement la remise en état sous l’angle de l’écoulement du temps.</w:t>
      </w:r>
    </w:p>
    <w:p>
      <w:r>
        <w:t>a. Selon la jurisprudence, le rétablissement d’une situation conforme au droit ne peut pas être ordonné si un délai de plus de trente ans s’est écoulé depuis l'exécution des travaux litigieux (ATF 107 Ia 121 = JdT 1983 I 299 consid. 1 ; ATA/829/2016 du 4 octobre 2016 et les références citées). Il serait en effet choquant et contraire à la sécurité du droit que l'autorité puisse contraindre un propriétaire,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 JdT 1983 I 299 consid. 1).</w:t>
      </w:r>
    </w:p>
    <w:p>
      <w:r>
        <w:t>b. La jurisprudence susmentionnée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 du Tribunal fédéral 1A.42/2004 du 16 août 2004 consid. 3.2).</w:t>
      </w:r>
    </w:p>
    <w:p>
      <w:r>
        <w:t>En l’espèce, c’est lors d’un contrôle effectué le 5 mars 2007 que l’agrandissement de la terrasse et les installations non autorisées ont été constatés par le département. Le recourant affirme avoir effectué les travaux menant à l’état actuel de la terrasse en 1991 déjà, en contradiction avec les déclarations de deux témoins entendus par le TAPI qui ont déclarés qu’initialement, soit en 1992 lors de la délivrance de l’APA 4______ portant sur l’accès à la terrasse et sa création ainsi que dans le courant des années 90, la terrasse était plus petite.</w:t>
      </w:r>
    </w:p>
    <w:p>
      <w:r>
        <w:t>- 11/15 - A/3940/2016</w:t>
      </w:r>
    </w:p>
    <w:p>
      <w:r>
        <w:t>La question de la date exacte des travaux d’agrandissement et des aménagements non autorisés peut souffrir de rester indécise dans la mesure où la prescription trentenaire ne serait de toute façon pas atteinte même en prenant comme date celle alléguée par le recourant, soit 1991, les installations litigieuses ayant été constatées en 2007 par le département.</w:t>
      </w:r>
    </w:p>
    <w:p>
      <w:r>
        <w:t>Le grief du recourant tombe donc à faux. 6) a. De jurisprudence constante, pour être valable, un ordre de mise en conformité doit respecter cinq conditions cumulatives. L'ordre doit être dirigé contre le perturbateur. Les installations en cause ne doivent pas avoir été autorisées en vertu du droit en vigueur au moment de leur réalisation. Un délai de plus de trente ans ne doit pas s'être écoulé depuis l'exécution des travaux litigieux. L'autorité ne doit pas avoir créé chez l'administré concerné, que ce soit par des promesses, par des infractions, des assurances ou encore un comportement des conditions telles qu'elle serait liée par la bonne foi. L'intérêt public au rétablissement d'une situation conforme au droit doit l'emporter sur l'intérêt privé de l'intéressé au maintien des installations litigieuses (ATA/213/2018 du 6 mars 2018 et les références citées).</w:t>
      </w:r>
    </w:p>
    <w:p>
      <w:r>
        <w:t>b.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ATA/1411/2017 du 17 octobre 2017).</w:t>
      </w:r>
    </w:p>
    <w:p>
      <w:r>
        <w:t>c.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ATA/1411/2017 précité). 7)</w:t>
      </w:r>
    </w:p>
    <w:p>
      <w:r>
        <w:t>Selon le recourant, l’ordre porterait sur des travaux au sujet desquels il n’existait aucun obstacle matériel et pour lesquels tous les préavis émis dans le cadre de la procédure de régularisation étaient favorables. Aucun intérêt public</w:t>
      </w:r>
    </w:p>
    <w:p>
      <w:r>
        <w:t>- 12/15 - A/3940/2016 n’était lésé par les constructions et l’enlèvement du conduit de ventilation condamnerait le restaurant sis au rez-de-chaussée de l’immeuble. De plus, le département qui avait à plusieurs reprises constaté les constructions litigieuses n’avait jamais élevé la moindre objection à leur égard avant 2016. Il avait pu de bonne foi penser que l’autorité intimée ne rendrait pas un ordre de remise en état, cela d’autant plus que le département avait ouvert puis définitivement classé en 2007 une procédure d’infraction portant sur ces aménagements.</w:t>
      </w:r>
    </w:p>
    <w:p>
      <w:r>
        <w:t>Or, s’agissant des préavis, celui de la Ville de Genève était défavorable, contrairement aux allégations du recourant. Quant au comportement du département et à la prétendue « bonne foi » du recourant, il suffit de rappeler que c’est en raison des fausses déclarations du recourant, faites en 2007, que le département avait classé la procédure d’infraction, celui-ci ayant affirmé avoir procédé aux travaux de remise en état.</w:t>
      </w:r>
    </w:p>
    <w:p>
      <w:r>
        <w:t>Cela dit, l’ordre est dirigé contre le perturbateur par comportement et le département n’a jamais donné l’assurance au recourant que lesdites constructions ne nécessitaient pas d’autorisation ou étaient autorisables, ni ne les a tolérées puisqu’il a demandé la réduction de la taille de la terrasse aux dimensions autorisées par l’APA 4______ et qu’il n’avait jamais constaté les autres manquements, à savoir l’installation d’une ventilation et du cabanon.</w:t>
      </w:r>
    </w:p>
    <w:p>
      <w:r>
        <w:t>S’agissant du principe de proportionnalité, il ne s’agit en l’espèce pas de dérogations mineures à la loi. L’ordre de remise en état est propre à atteindre le but poursuivi et sauf à obtenir une autorisation valable pour ces travaux, c’est le seul moyen d’atteindre le respect de la règlementation en matière de constructions et d’installations. Il s’agit en l’espèce d’examiner la régularisation d’une situation dans laquelle, contre l’avis du propriétaire de l’immeuble, des travaux non autorisés ont été effectués. Il existe dès lors un intérêt public prépondérant qui prime l’intérêt privé du recourant à conserver ces installations. S’agissant de la ventilation du restaurant, le recourant étant propriétaire de l’immeuble immédiatement voisin, rien ne permet de retenir qu’il n’existe pas de solution alternative envisageable n’affectant pas l’immeuble voisin.</w:t>
      </w:r>
    </w:p>
    <w:p>
      <w:r>
        <w:t>En conséquence, le département a correctement pesé les intérêts en présence et la décision est conforme au principe de proportionnalité. 8)</w:t>
      </w:r>
    </w:p>
    <w:p>
      <w:r>
        <w:t>Finalement, le recourant conteste l’absence d’indemnité dans le jugement du TAPI.</w:t>
      </w:r>
    </w:p>
    <w:p>
      <w:r>
        <w:t>a. Les frais de procédure, émoluments et indemnités arrêtés par la juridiction administrative peuvent faire l’objet d’une réclamation dans le délai de trente jours dès la notification de la décision ; les dispositions des art. 50 à 52 LPA sont alors applicables (art. 87 al. 4 LPA).</w:t>
      </w:r>
    </w:p>
    <w:p>
      <w:r>
        <w:t>- 13/15 - A/3940/2016</w:t>
      </w:r>
    </w:p>
    <w:p>
      <w:r>
        <w:t>b. À teneur de l'art. 67 al. 1 LPA, dès le dépôt du recours, le pouvoir de traiter l'affaire qui en est l'objet passe à l'autorité de recours (effet dévolutif du recours).</w:t>
      </w:r>
    </w:p>
    <w:p>
      <w:r>
        <w:t>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(ATA/190/2016 du 1er mars 2016; ATA/649/2012 du 25 septembre 2012 ; ATA/145/2009 du 24 mars 2009). Dans ce cas, la chambre de céans est compétente pour statuer sur toutes les questions litigieuses, y compris sur l'émolument et l'indemnité (ibid.). A contrario, lorsque seuls les frais et émoluments fixés par le TAPI sont critiqués, c'est ce dernier qui est compétent pour statuer par la voie de la réclamation, son jugement pouvant être ensuite porté devant la chambre de céans (ATA/190/2016 précité ; ATA/691/2014 du 2 septembre 2014).</w:t>
      </w:r>
    </w:p>
    <w:p>
      <w:r>
        <w:t>En l'espèce, le recourant conteste l'absence d'indemnité, mais également la validité matérielle du jugement. La chambre de céans est ainsi compétente pour statuer sur ces questions. 9)</w:t>
      </w:r>
    </w:p>
    <w:p>
      <w:r>
        <w:t>La juridiction administrative qui rend la décision peut sur requête allouer à la partie ayant entièrement ou partiellement gain de cause, une indemnité pour les frais indispensables causés par le recours (art. 87 al. 2 LPA). Il est de jurisprudence constante que la partie qui succombe supporte une partie des frais découlant du travail qu'il a généré par sa saisine (ATA/649/2012 du 25 septembre 2012 ; ATA/145/2009 du 24 mars 2009).</w:t>
      </w:r>
    </w:p>
    <w:p>
      <w:r>
        <w:t>La juridiction saisie dispose d’un large pouvoir d’appréciation s’agissant de la quotité de l’indemnité allouée qui ne constitue, de jurisprudence constante, qu’une participation aux honoraires d’avocat (ATA/154/2016 du 23 février 2016 et les arrêts cités). Par ailleurs, la garantie de la propriété (art. 26 Cst.) n’impose nullement une pleine compensation du coût de la défense de la partie victorieuse (arrêt du Tribunal fédéral 2C_152/2010 du 24 août 2010). Pour déterminer le montant de l’indemnité, il convient de prendre en compte les différents actes d’instruction, le nombre d’échange d’écritures et d’audiences. Le montant retenu doit également intégrer l’importance et la pertinence des écritures produite et, de manière générale, la complexité de l’affaire (ATA/154/2016 précité et les arrêts cités).</w:t>
      </w:r>
    </w:p>
    <w:p>
      <w:r>
        <w:t>En l’espèce, le TAPI a admis partiellement le recours en annulant l’amende infligée car, bien que confirmée dans son principe en raison de la faute avérée du recourant, les faits étaient trop anciens pour être sanctionnés en application du délai de prescription de sept ans prévu à l’art. 137 al. 6 LCI. Aucune indemnité de procédure n’a dès lors été allouée par le TAPI.</w:t>
      </w:r>
    </w:p>
    <w:p>
      <w:r>
        <w:t>- 14/15 - A/3940/2016</w:t>
      </w:r>
    </w:p>
    <w:p>
      <w:r>
        <w:t>Il appert que l’appréciation faite par le TAPI de ne pas octroyer de dépens ne prête pas le flanc à la critique vu l’admission très partielle du recours et du fait que le recourant est lui-même à l’origine du litige en raison de travaux qu’il a effectués sans autorisation sur l’immeuble d’autrui. 10) En tout point infondé, le recours doit être rejeté.</w:t>
      </w:r>
    </w:p>
    <w:p>
      <w:r>
        <w:t>Vu l’issue du litige, un émolument de CHF 1'000.- sera mis à la charge du recourant (art. 87 al. 1 LPA), et il ne lui sera pas allouée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