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ATA/320/2009 vom 30. Juni 2009</w:t>
      </w:r>
    </w:p>
    <w:p>
      <w:r>
        <w:t>GE Cour de justice, 2009-06-30, FR</w:t>
      </w:r>
    </w:p>
    <w:p>
      <w:r>
        <w:rPr>
          <w:b/>
        </w:rPr>
        <w:t xml:space="preserve">Quelle: </w:t>
      </w:r>
      <w:r>
        <w:t>https://mcp.opencaselaw.ch/entscheid/ge_gerichte_ATA_320_2009</w:t>
      </w:r>
    </w:p>
    <w:p>
      <w:r>
        <w:t>FR: GE_GERICHTE ATA/320/2009 du 30 juin 2009</w:t>
      </w:r>
    </w:p>
    <w:p>
      <w:r>
        <w:t>IT: GE_GERICHTE ATA/320/2009 del 30 giugno 2009</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De nouvelles normes fiscales sont entrées en vigueur le 1er janvier 2001, en application de la LHID. Elles ont abrogé, à partir de cette date, la plupart des dispositions de la loi générale sur les contributions publiques du 9 novembre l887</w:t>
      </w:r>
    </w:p>
    <w:p>
      <w:r>
        <w:t>- 5/7 - A/606/2008 (LCP - D 3 05). Le présent litige, qui concerne l'impôt cantonal et communal 2002 est donc soumis au nouveau droit.</w:t>
      </w:r>
    </w:p>
    <w:p>
      <w:r>
        <w:rPr>
          <w:b/>
        </w:rPr>
        <w:t>E. 3</w:t>
      </w:r>
    </w:p>
    <w:p>
      <w:r>
        <w:t>La seule question litigieuse est de savoir si l'indemnité versée par son ancien employeur au contribuable entre dans le champ d'application de l'art. 17 LIPP-V, come l'a retenu la commission, et doit dès lors être imposée "au taux de la rente" plutôt qu'au taux ordinaire.</w:t>
      </w:r>
    </w:p>
    <w:p>
      <w:r>
        <w:rPr>
          <w:b/>
        </w:rPr>
        <w:t>E. 4</w:t>
      </w:r>
    </w:p>
    <w:p>
      <w:r>
        <w:t>a. Une indemnité obtenue lors de la cessation d'une activité ou de la renonciation à celle-ci est imposable au titre de revenu (art. 9 let. b LIPP-IV).</w:t>
      </w:r>
    </w:p>
    <w:p>
      <w:r>
        <w:t>b. Lorsque le revenu comprend des versements de capitaux remplaçant des prestations périodiques ou des versements en capital à la fin des rapports de service, l'impôt se calcul, compte tenu des autres revenus et des déductions autorisées, au taux qui serait applicable si une prestation annuelle était servie en lieu et place de l'indemnité unique (art. 17 LIPP-V). Il s'agit donc de convertir l'indemnité reçue en rente annuelle.</w:t>
      </w:r>
    </w:p>
    <w:p>
      <w:r>
        <w:t>Cette dernière disposition reprend le principe posé aux. 11 al. 2 LHID 37 LIFD qui règle le cas pour l'imposition fédérale. Nonobstant la nuance sémantique introduite par le législateur genevois on ne saurait lui donner une portée différente de celle des deux dispositions précitées, le Tribunal fédéral ayant précisé que la notion d'imposition au taux périodisé devait être interprétée de manière uniforme en droit cantonal et en droit fédéral, cela dans l'optique d'une harmonisation fiscale verticale (RDAF 2006 II p. 21 ; ATA/682/2006 du 19 décembre 2006 concernant un autre directeur de T______ S.A). Il n'y a donc pas de place pour un champ d'application cantonal de ce régime d'imposition favorable différent du champ d'application fédéral, la norme cantonale devant s'interpréter conformément au droit supérieur. Il s'ensuit que les développements jurisprudentiels concernant l'art. 37 LIFD sont applicables ici mutatis mutandis, contrairement à ce qu'à retenu la commission.</w:t>
      </w:r>
    </w:p>
    <w:p>
      <w:r>
        <w:t>c. Des prestations en capital, au sens de l'art. 37 LIFD, ne peuvent bénéficier de l'imposition privilégiée que si d'ordinaire - en raison de la nature de cette prestation - un versement périodique est prévu et n'a pas pu avoir lieu, sans que le bénéficiaire y soit pour quelque chose (Archives 70 p. 210). Sous certaines conditions, il faut aussi considérer comme versement de capitaux remplaçant des prestations périodiques des augmentations de fortune unique qui ont remplacé des prestations périodiques échues dans le passé (ATA/44/2008 du 5 février 2008 ; RDAF 2006 II p. 24;).</w:t>
      </w:r>
    </w:p>
    <w:p>
      <w:r>
        <w:rPr>
          <w:b/>
        </w:rPr>
        <w:t>E. 5</w:t>
      </w:r>
    </w:p>
    <w:p>
      <w:r>
        <w:t>Aucun élément du dossier ne vient confirmer le point de vue du contribuable qui voit dans les montants versés un complément à sa prévoyance professionnelle. L'indemnité n'a notamment pas été calculée en fonction d'éventuelles lacunes antérieures ou futures de la prévoyance.</w:t>
      </w:r>
    </w:p>
    <w:p>
      <w:r>
        <w:t>- 6/7 - A/606/2008</w:t>
      </w:r>
    </w:p>
    <w:p>
      <w:r>
        <w:t>Il s'agit bien d'une prime de départ, versée à bien plaire par l'employeur, dans le but d'atténuer les effets de la cessation d'activité de l'entreprise. Une telle indemnité n'est d'ordinaire pas versée sous forme périodique. En conséquence, l'indemnité ne peut être considérée comme remplaçant des prestations périodiques au sens de l'article 17 LIPP-V et doit être imposée au taux ordinaire.</w:t>
      </w:r>
    </w:p>
    <w:p>
      <w:r>
        <w:rPr>
          <w:b/>
        </w:rPr>
        <w:t>E. 6</w:t>
      </w:r>
    </w:p>
    <w:p>
      <w:r>
        <w:t>Au vu de ce qui précède, le recours sera admis. La décision querellée sera annulée.</w:t>
      </w:r>
    </w:p>
    <w:p>
      <w:r>
        <w:t>Vu l'issue du litige, un émolument de CHF 1'000.- sera mis à la charge des intimés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