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ATA/318/2017 vom 21. März 2017</w:t>
      </w:r>
    </w:p>
    <w:p>
      <w:r>
        <w:t>GE Cour de justice, 2017-03-21, FR</w:t>
      </w:r>
    </w:p>
    <w:p>
      <w:r>
        <w:rPr>
          <w:b/>
        </w:rPr>
        <w:t xml:space="preserve">Quelle: </w:t>
      </w:r>
      <w:r>
        <w:t>https://mcp.opencaselaw.ch/entscheid/ge_gerichte_ATA_318_2017</w:t>
      </w:r>
    </w:p>
    <w:p>
      <w:r>
        <w:t>FR: GE_GERICHTE ATA/318/2017 du 21 mars 2017</w:t>
      </w:r>
    </w:p>
    <w:p>
      <w:r>
        <w:t>IT: GE_GERICHTE ATA/318/2017 del 21 marzo 2017</w:t>
      </w:r>
    </w:p>
    <w:p>
      <w:pPr>
        <w:pStyle w:val="Heading2"/>
      </w:pPr>
      <w:r>
        <w:t>Regeste</w:t>
      </w:r>
    </w:p>
    <w:p>
      <w:r>
        <w:t>Résumé: Autorisation confirmée pour la construction d'un spa avec parking souterrain dans le prolongement d'une clinique privée. Il se justifie de déroger aux normes de la 5ème zone pour les installations projetées, ce d'autant plus qu'il n'existe pas d'inconvénients graves pour les voisins. Les dérogations accordées au rapport de surface hors sol et en sous-sol sont conformes au droit.</w:t>
      </w:r>
    </w:p>
    <w:p>
      <w:pPr>
        <w:pStyle w:val="Heading2"/>
      </w:pPr>
      <w:r>
        <w:t>Erwägungen</w:t>
      </w:r>
    </w:p>
    <w:p>
      <w:r>
        <w:rPr>
          <w:b/>
        </w:rPr>
        <w:t>E. 19</w:t>
      </w:r>
    </w:p>
    <w:p>
      <w:r>
        <w:t>Par acte déposé le 21 juin 2016, Mme RAEMY MARTINS FIGUEIRA et M. MARTINS FIGUEIRA ont interjeté recours contre la décision précitée devant la chambre administrative de la Cour de justice (ci-après : la chambre administrative), concluant principalement à ce que le jugement du TAPI du 26 mai 2016 soit annulé et subsidiairement à ce que l'autorisation de construire DD 107’674 soit déclarée nulle, le tout « sous suite de frais et dépens ».</w:t>
      </w:r>
    </w:p>
    <w:p>
      <w:r>
        <w:t>Les constructions projetées n'étaient pas conformes à la 5ème zone puisqu'elles étaient entièrement affectées à l'exercice d'une activité professionnelle. Les conditions permettant une dérogeration à l'affectation de la zone (art. 26 LaLAT) n'avaient pas été examinées s'agissant des nouvelles constructions projetées, le DALE ayant jugé à tort que le projet était un prolongement du bâtiment existant, avec un impact mineur sur la situation existante. Or, d'une part, les éléments ayant permis une dérogation en 1988 n'étaient plus les mêmes. D'autre part, les constructions envisagées génèreraient de graves nuisances pour le voisinage. L'intérêt privé à l'exploitation d'un spa et d'un nouveau parking n'était pas suffisant pour céder le pas à l'intérêt public de respecter la zone d'affectation.</w:t>
      </w:r>
    </w:p>
    <w:p>
      <w:r>
        <w:t>C'était par ailleurs à tort que des dérogations aux rapports de surfaces hors-sol et en sous-sol (art. 59 LCI) avaient été accordées. Les conditions de l'art. 59 al. 4 let. a LCI permettant une dérogation aux SBP n'étaient pas remplies dès lors que le bâtiment projeté n'avait pas pour but de répondre à la crise du logement, qu'il n'était pas compatible avec le caractère, l’harmonie et l’aménagement du quartier et que le calcul de la surface du plancher n'avait pas tenu compte de divers locaux à l'arrière de la maison.</w:t>
      </w:r>
    </w:p>
    <w:p>
      <w:r>
        <w:t>L'application de l'art. 59 al. 10 LCI avait permis d'enlever 605 m2 au calcul du rapport des surfaces. La construction du garage en sous-sol n'avait pourtant pas permis de renoncer à l'édification de constructions de peu d'importance en surface; il devait de toute façon être construit en sous-sol pour laisser la place au spa. De plus, le TAPI considérait que la réalisation souterraine préserverait la qualité des</w:t>
      </w:r>
    </w:p>
    <w:p>
      <w:r>
        <w:t>- 8/18 - A/3029/2015 espaces extérieurs. Or, le bâtiment projeté reposerait sur un espace vert existant, entraînant la destruction de plusieurs arbres.</w:t>
      </w:r>
    </w:p>
    <w:p>
      <w:r>
        <w:rPr>
          <w:b/>
        </w:rPr>
        <w:t>E. 20</w:t>
      </w:r>
    </w:p>
    <w:p>
      <w:r>
        <w:t>Par courrier du 24 juin 2016 à la chambre administrative, le TAPI a indiqué ne pas avoir d'observations à formuler.</w:t>
      </w:r>
    </w:p>
    <w:p>
      <w:r>
        <w:rPr>
          <w:b/>
        </w:rPr>
        <w:t>E. 21</w:t>
      </w:r>
    </w:p>
    <w:p>
      <w:r>
        <w:t>Le 22 juillet 2016, le DALE a conclu au rejet du recours, ainsi qu'à la confirmation du jugement du TAPI du 26 mai 2016 et de l'autorisation de construire du 5 août 2015.</w:t>
      </w:r>
    </w:p>
    <w:p>
      <w:r>
        <w:t>Le TAPI avait procédé à une correcte pesée des intérêts en présence en retenant que l'exploitation d'une clinique privée, à la place d'un EMS, répondait également à un intérêt public prépondérant par rapport à l'intérêt public au respect de l'affectation de la zone. Les nouvelles constructions apparaissaient comme nécessaires au bon fonctionnement de la clinique. L'augmentation du trafic routier serait limitée sachant que le spa serait réservé aux patients de la clinique et que la clinique compterait moins de lits que l'ancien EMS. L'ensemble des instances de préavis s'était d'ailleurs déclaré favorable au projet ou ne s'y était pas opposé.</w:t>
      </w:r>
    </w:p>
    <w:p>
      <w:r>
        <w:t>S'agissant des rapports de surface, le TAPI avait à juste titre retenu que la commune et la CA avaient préavisé favorablement le projet, que l'augmentation du rapport de surface était faible et que l'intérêt public à sa réalisation était évident. Largement enterré et végétalisé, le projet avait un impact visuel réduit, ne heurtant pas le caractère, l’harmonie et l’aménagement du quartier.</w:t>
      </w:r>
    </w:p>
    <w:p>
      <w:r>
        <w:t>Concernant les SBP situées en sous-sol, l'indice d'utilisation du sol de 20 % imposé par la loi avait été respecté, les calculs y relatifs n'ayant d'ailleurs jamais été contestés. La mise en œuvre de la dérogation prévue en matière de construction de parking en sous-sol était par ailleurs conforme à l'art. 59 al. 10 LCI.</w:t>
      </w:r>
    </w:p>
    <w:p>
      <w:r>
        <w:rPr>
          <w:b/>
        </w:rPr>
        <w:t>E. 22</w:t>
      </w:r>
    </w:p>
    <w:p>
      <w:r>
        <w:t>Dans leurs observations du 22 août 2016, les consorts AZOULAY ont également conclu au rejet du recours, ainsi qu'à la confirmation du jugement du TAPI du 26 mai 2016 et de l'autorisation de construire du 5 août 2015, avec suite de frais et dépens.</w:t>
      </w:r>
    </w:p>
    <w:p>
      <w:r>
        <w:t>Une activité exclusivement commerciale avait été autorisée en 1988 par arrêté du Conseil d’État ainsi que par la délivrance successive de deux autorisations. Le projet querellé, en tant qu’il s’inscrivait dans le prolongement des autorisations délivrées, échappait ainsi à la critique. De plus, l'exploitation d'une clinique, en lieu et place d'un EMS, répondait toujours à un intérêt public important. Le projet était un prolongement de l'exploitation du bâtiment existant et n'avait pas d'impact sur la situation préexistante. En outre, les recourants invoquaient de manière purement appellatoire que le projet provoquerait une aggravation des nuisances.</w:t>
      </w:r>
    </w:p>
    <w:p>
      <w:r>
        <w:t>- 9/18 - A/3029/2015</w:t>
      </w:r>
    </w:p>
    <w:p>
      <w:r>
        <w:t>S'agissant des rapports de surface, les circonstances du cas d'espèce justifiaient d’octroyer les dérogations de l'art. 59 LCI, dans la mesure où le projet avait été préavisé favorablement par la CA et la commune et qu'il était compatible avec le caractère, l’harmonie et l’aménagement du quartier, respectivement que les conditions des al. 9 et 10 de la disposition précitée étaient remplies.</w:t>
      </w:r>
    </w:p>
    <w:p>
      <w:r>
        <w:rPr>
          <w:b/>
        </w:rPr>
        <w:t>E. 23</w:t>
      </w:r>
    </w:p>
    <w:p>
      <w:r>
        <w:t>Par courriers du 27 septembre 2016, les parties ont été informées que la cause était gardée à juger.</w:t>
      </w:r>
    </w:p>
    <w:p>
      <w:r>
        <w:rPr>
          <w:b/>
        </w:rPr>
        <w:t>E. 24</w:t>
      </w:r>
    </w:p>
    <w:p>
      <w:r>
        <w:t>Pour le surplus, les arguments des parties seront repris, en tant que de besoin, dans la partie en droit.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du jugement du TAPI confirmant la décision du DALE de délivrer l'autorisation de construire (DD 107’674), portant sur la création d’un parking souterrain et d’un spa. 3.</w:t>
      </w:r>
    </w:p>
    <w:p>
      <w:r>
        <w:t>Dans un premier grief, les recourants considèrent que les constructions projetées sont contraires à l'affectation de la zone et que les conditions permettant de déroger aux règles de la zone à bâtir ne sont pas remplies.</w:t>
      </w:r>
    </w:p>
    <w:p>
      <w:r>
        <w:t>À titre préalable, il conviendra de relever qu'il n'est pas contesté par les parties, et en particulier par les recourants, que la parcelle n° 6’199 est située en zone agricole de développement 5 et que les règles de la 5ème zone s'y appliquent. 4.</w:t>
      </w:r>
    </w:p>
    <w:p>
      <w:r>
        <w:t>Conformément à l'art. 22 al. 1 de la loi fédérale sur l’aménagement du territoire du 22 juin 1979 (LAT - RS 700), aucune construction ou installation ne peut être créée ou transformée sans autorisation de l’autorité compétente.</w:t>
      </w:r>
    </w:p>
    <w:p>
      <w:r>
        <w:t>Selon l'art. 22 al. 2 LAT, l’autorisation est délivrée si la construction ou l’installation est conforme à l’affectation de la zone (let. a) et si le terrain est équipé (let. b). Le droit fédéral et le droit cantonal peuvent poser d’autres conditions (art. 22 al. 3 LAT).</w:t>
      </w:r>
    </w:p>
    <w:p>
      <w:r>
        <w:t>Le droit cantonal règle les exceptions prévues à l'intérieur de la zone à bâtir (art. 23 LAT). 5.</w:t>
      </w:r>
    </w:p>
    <w:p>
      <w:r>
        <w:t>À teneur de l'art. 19 al. 3 LaLAT, la 5ème zone est une zone résidentielle destinée aux villas; des exploitations agricoles peuvent également y trouver place.</w:t>
      </w:r>
    </w:p>
    <w:p>
      <w:r>
        <w:t>- 10/18 - A/3029/2015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6. a. Lorsque les circonstances le justifient et s’il n’en résulte pas d’inconvénients graves pour le voisinage, le département peut déroger aux dispositions des art. 18 et 19 LaLAT quant à la nature des constructions (art. 26 al. 1 1ère phrase LaLAT).</w:t>
      </w:r>
    </w:p>
    <w:p>
      <w:r>
        <w:t>b. La notion de circonstances particulières au sens de l'art. 26 al. 1 LaLAT est un concept juridique indéterminé, laissant une certaine latitude à l'autorité administrative, laquelle jouit d’un large pouvoir d’appréciation dans l’octroi de dérogations.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(ATA/1019/2014 du 16 décembre 2014 consid. 8b ; ATA/784/2013 du 26 novembre 2013 consid. 8b et les références citées).</w:t>
      </w:r>
    </w:p>
    <w:p>
      <w:r>
        <w:t>Les circonstances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(ATA/824/2015 du 11 août 2015 consid. 12c ; ATA/1019/2014 précité consid. 8d et les références citées).</w:t>
      </w:r>
    </w:p>
    <w:p>
      <w:r>
        <w:t>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(ATA/824/2015 précité consid. 12c ; ATA/1019/2014 précité consid. 8d et les références citées).</w:t>
      </w:r>
    </w:p>
    <w:p>
      <w:r>
        <w:t>c. Selon la jurisprudence, il convient d'adopter une interprétation restrictive de l'art. 26 al. 1 LaLAT, en tout cas lorsque l'on entend l’appliquer à la 5ème zone. En effet, la condition de l'absence d'inconvénients graves pour le voisinage est identique à celle qui est posée pour la tolérance d'activités professionnelles dans une partie d'une habitation (art. 19 al. 3 2ème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(ATA/824/2015 précité consid. 12c ; ATA/1019/2014 précité consid. 8d et les références citées).</w:t>
      </w:r>
    </w:p>
    <w:p>
      <w:r>
        <w:t>- 11/18 - A/3029/2015</w:t>
      </w:r>
    </w:p>
    <w:p>
      <w:r>
        <w:t>d.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(ATA/824/2015 précité consid. 12b ; ATA/1019/2014 précité consid. 8c et les références citées).</w:t>
      </w:r>
    </w:p>
    <w:p>
      <w:r>
        <w:t>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(ATA/824/2015 précité consid. 12b ; ATA/1019/2014 précité consid. 8c et les références citées ; Thierry TANQUEREL, La pesée des intérêts vue par le juge administratif in : La pesée globale des intérêts, Droit de l'environnement et de l'aménagement du territoire, 1996, p. 189 et ss, notamment 192-193).</w:t>
      </w:r>
    </w:p>
    <w:p>
      <w:r>
        <w:t>e. À titre d'exemple, la chambre administrative a confirmé que la présence d'une buvette sur le quai de Cologny, en zone villas, n'était pas conforme à l’affectation de cette zone, mais qu'elle pouvait être autorisée par la voie dérogatoire, dès lors que la buvette devait être implantée loin des villas, en un lieu fréquenté par des promeneurs et qu’elle répondait à un intérêt public. Les griefs de gêne pour la circulation, de bruits générés par l’installation et de protection des eaux ont été écartés, les services compétents ayant préavisés favorablement le projet de buvette (ATA/537/2013 du 27 août 2013). À l'inverse, une autorisation par la voie dérogatoire a été refusé à un recourant qui souhaitait transformer un hangar sis en zone villas en atelier de mécanique pour voitures, dans la mesure où il était notoire que la réparation et la restauration de véhicules étaient source de bruit voire d’odeurs incommodantes et que l’entreposage de véhicules sur la parcelle nuirait à l’esthétique de la zone et pouvait polluer le sol (ATA/573/2005 du 30 août 2005).</w:t>
      </w:r>
    </w:p>
    <w:p>
      <w:r>
        <w:t>f. En l'espèce, comme l'a à juste titre relevé le TAPI, les installations projetées, soit un spa et un parking souterrain, ne sont pas conformes à l’affectation résidentielle de la zone agricole de développement 5. Il n'est pas nécessaire d'examiner si les conditions permettant qu'une activité professionnelle soit autorisée en zone villas (art. 19 al. 3 LaLAT) sont réalisées en l'espèce, dans la mesure où le projet ne concerne clairement pas une villa occupée, à tout le moins en partie, par son propriétaire.</w:t>
      </w:r>
    </w:p>
    <w:p>
      <w:r>
        <w:t>- 12/18 - A/3029/2015</w:t>
      </w:r>
    </w:p>
    <w:p>
      <w:r>
        <w:t>Il convient en revanche d'examiner si l'autorisation litigieuse pouvait effectivement être délivrée en application de la voie dérogatoire de l'art. 26 LaLAT. À ce propos, et contrairement à ce que prétendent les consorts AZOULAY, en tant que le projet concerne de nouvelles constructions, il doit être procédé à un nouvel examen des conditions permettant de déroger à l'affectation de la zone, et ce quand bien même lesdites constructions sont en lien avec le bâtiment existant. Le TAPI a d'ailleurs, à juste titre, procédé à cet examen, concluant en substance que la clinique répondait à un intérêt public important, que les constructions projetées étaient essentielles au bon fonctionnement de la ladite clinique et que ces dernières n'entraîneraient pas d’inconvénients graves pour le voisinage. Les conclusions du TAPI sont conformes au droit.</w:t>
      </w:r>
    </w:p>
    <w:p>
      <w:r>
        <w:t>En effet, les installations projetées, liées à l'exploitation d'un établissement offrant des soins de rééducation, d’ores et déjà autorisé, s’imposent par leur destination. Celles-ci s’avèrent nécessaires. D'une part, le spa aura exclusivement pour but, conformément aux explications données par M. AZOULAY, de doter la clinique d'une piscine, équipée d'appareils de physiothérapie et de cabines de soins, affectées à la physiothérapie, à des soins de massage et de réflexologie. Il n'est ainsi nullement question d'ériger un spa proposant des soins d'esthétique, dont l’intérêt en lien avec l’établissement d’ores et déjà autorisé pourrait être dénié. D'autre part, le garage souterrain projeté vise à proposer des places de parcs suffisantes au personnel hospitalier, aux patients et aux visiteurs, et découle ainsi directement d'une bonne utilisation de l'établissement. Comme le relève le TAPI, à juste titre, cette problématique tenait à cœur aux autorités en 1988 déjà, la commune d'Anières ayant demandé à ce que soient créées des places de parking pour visiteurs à l'intérieur de la propriété. De plus, il ressort des explications de M. AZOULAY que les caisses-maladies leur imposaient des exigences en matière de parking pour les autoriser à prendre en charge des patients envoyés par les hôpitaux. Enfin, la DGT a indiqué au DALE avoir préavisé favorablement le projet, car le périmètre concerné est peu desservi par les transports publics, qu'il ne fait pas l'objet de restrictions pour les activités et que les accès y sont corrects et adaptés.</w:t>
      </w:r>
    </w:p>
    <w:p>
      <w:r>
        <w:t>S'agissant des inconvénients qu'engendreraient les constructions projetées, les recourants se contentent d'indiquer que la clinique implique une activité ayant lieu sept jours sur sept, entraînant des nuisances importantes et continuelles, lesquelles existent déjà, sans toutefois exposer clairement en quoi elles consistent ou pourquoi elles augmenteraient avec le projet litigieux. Les recourants indiquent que, contrairement à ce qu'a retenu le TAPI, ils ne se plaignent pas uniquement de l'augmentation du trafic. Ils n'indiquent toutefois pas à quelles nuisances ils seraient encore exposés, se contentant de déplorer le fait que l'entrée du parking souterrain n'ait pas été prévue à l'entrée de la parcelle. Il sera encore relevé que les recourants exposent que des voitures se parquent actuellement le long de leur haie.</w:t>
      </w:r>
    </w:p>
    <w:p>
      <w:r>
        <w:t>- 13/18 - A/3029/2015 Or, la création du parking litigieux permettra probablement de régler, en partie du moins, cette problématique de parking sauvage le long de leur propriété.</w:t>
      </w:r>
    </w:p>
    <w:p>
      <w:r>
        <w:t>Pour le surplus, il sera rappelé que le projet litigieux a fait l'objet de préavis favorables, favorables sous réserve ou d'absence d'observations de la part de l'ensemble des autorités interpellées et que l'exploitation d'un établissement relevant du domaine des soins et de la santé sur cette parcelle est autorisée depuis près de trente ans.</w:t>
      </w:r>
    </w:p>
    <w:p>
      <w:r>
        <w:t>Au vu de ce qui précède, le DALE n’a ni excédé ni abusé de son pouvoir d’appréciation en accordant la dérogation sollicitée. C'est ainsi à juste titre que le TAPI l'a confirmée. 7.</w:t>
      </w:r>
    </w:p>
    <w:p>
      <w:r>
        <w:t>Les recourants reprochent également au TAPI d'avoir confirmé qu'une dérogation aux rapports de surfaces hors-sol, en application de l'art. 59 al. 4 let. a LCI, était conforme au droit. 8. a. En zone villas, la surface de la construction, exprimée en m2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(art. 59 al. 1 LCI).</w:t>
      </w:r>
    </w:p>
    <w:p>
      <w:r>
        <w:t>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(art. 59 al. 4 let. a LCI).</w:t>
      </w:r>
    </w:p>
    <w:p>
      <w:r>
        <w:t>b.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c.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(ATA/284/2016 du 5 avril 2016 consid. 7c ; ATA/109/2008 du 11 mars 2008 consid. 4 ; Thierry TANQUEREL, Manuel de droit administratif, 2011,</w:t>
      </w:r>
    </w:p>
    <w:p>
      <w:r>
        <w:t>- 14/18 - A/3029/2015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(ATA/284/2016 du 5 avril 2016 consid. 7c et les références citées).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(ATA/284/2016 précité consid. 7c ; ATA/147/2011 du 8 mars 2011 consid. 14 et les références citées).</w:t>
      </w:r>
    </w:p>
    <w:p>
      <w:r>
        <w:t>d. À teneur de la jurisprudence de la chambre administrative (ATA/828/2015 du 11 août 2015 ; ATA/699/2015 du 30 juin 2015), l’art. 59 al. 4 let. a LCI est issu d’une modification législative qui visait à promouvoir une utilisation plus intensive du sol en zone villas pour répondre à la crise du logement sévissant à Genève. Le département doit cependant recueillir les appréciations de la CA, respectivement celles de la commune du lieu de situation. Il n'en demeure pas moins, toujours selon les arrêts susmentionnés, que la délivrance de telles autorisations de construire demeure de la compétence exclusive du département à qui il appartient de statuer en tenant compte de tous les intérêts en présence.</w:t>
      </w:r>
    </w:p>
    <w:p>
      <w:r>
        <w:t>e. En l'espèce, à teneur du projet, en tenant compte d'une surface de 196 m2 du projet de spa, venant s'ajouter au 2’279,2 m2 de SBP existant pour les trois étages du bâtiment, conformément aux détails du calcul du rapport des surfaces produit dans le dossier, le rapport de surface s'élève à 39,9 %. Les recourants allèguent que le calcul ne prendrait pas en compte plusieurs locaux « à l'arrière de la maison », sans toutefois exposer plus précisément à quelle surface ils se réfèrent. En tout état, à la lecture des plans et sans autres explications, il n'apparaît pas que des surfaces n'auraient pas été prises en compte dans le calcul de la SBP, de sorte que cet argument sera écarté.</w:t>
      </w:r>
    </w:p>
    <w:p>
      <w:r>
        <w:t>Les recourants sous-entendent que le projet de construction n'est pas en ordre contigu, puisqu'il ne concerne qu'une seule maison, qui n'a pas pour but le logement, de sorte qu'il n'est pas conforme à l'art. 59 al. 4 let. a LCI. Si les installations projetées ne sont certes pas en ordre contigu, elles formeront, avec le bâtiment déjà existant, un « habitat groupé » au sens de la disposition précitée, étant précisé que le fait que le projet ne concerne pas des logements est irrelevant, celui-ci ayant été autorisée sur la base de l'art. 26 al. 1 LaLAT.</w:t>
      </w:r>
    </w:p>
    <w:p>
      <w:r>
        <w:t>Les recourants considèrent également que le projet serait incompatible avec le caractère, l’harmonie et l’aménagement du quartier. Or, d'une part, tant la commune d'Anières que la CA ont préavisé favorablement le projet litigieux, cette dernière précisant spécifiquement dans son préavis qu'elle était favorable à la dérogation selon l'art. 59 LCI. D'autre part, la consultation des plans du projet</w:t>
      </w:r>
    </w:p>
    <w:p>
      <w:r>
        <w:t>- 15/18 - A/3029/2015 litigieux permet de constater, comme le relève d'ailleurs à juste titre le DALE, que la construction aura un impact visuel réduit dans la mesure où elle sera largement enterrée et végétalisée. Enfin si, comme le relèvent les recourants, il ressort de la jurisprudence que l'art. 59 al. 4 let. a LCI est issu de la volonté du législateur de promouvoir une utilisation plus intensive du sol en zone villas pour répondre à la crise du logement sévissant à Genève (ATA/828/2015 du 11 août 2015 ; ATA/699/2015 du 30 juin 2015), cela n'empêche toutefois pas le DALE d'accorder cette dérogation à l'égard d'une construction autre qu'un logement. Au surplus, rien ne permet de considérer que le projet serait incompatible avec le caractère, l’harmonie et l’aménagement du quartier.</w:t>
      </w:r>
    </w:p>
    <w:p>
      <w:r>
        <w:t>Il découle de ce qui précède que le DALE n’a pas excédé ou abusé de son pouvoir d’appréciation en acceptant la dérogation de l’art. 59 al. 4 let. a LCI, ce que le TAPI, composé pour partie de spécialistes, a, à juste titre, également retenu.</w:t>
      </w:r>
    </w:p>
    <w:p>
      <w:r>
        <w:t>Ce grief sera dès lors également écarté. 9.</w:t>
      </w:r>
    </w:p>
    <w:p>
      <w:r>
        <w:t>Les recourants se plaignent enfin du fait que la dérogation de l'art. 59 al. 10 LCI ait été accordé au projet alors que ce dernier ne permettait pas de renoncer à l'édification de constructions de peu d'importance à destination de garages en surface. 10. a. La surface des constructions en sous-sol, exprimée en m2 de plancher brut, ne doit pas excéder la surface de plancher hors sol qui peut être autorisée en application de l'al. 1 (art. 59 al. 8 LCI). Dans tous les cas, la surface du sous-sol, y compris celle du sous-sol des constructions de peu d'importance, ne peut excéder le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aux al. 8 et 9, si la construction de garages au sous-sol permet de renoncer à l'édification de constructions de peu d'importance à destination de garages en surface (art. 59 al. 10 LCI).</w:t>
      </w:r>
    </w:p>
    <w:p>
      <w:r>
        <w:t>b. Sont réputées constructions de peu d’importance, à la condition qu’elles ne servent ni à l’habitation ni à l’exercice d’une activité commerciale, industrielle ou artisanale, celles dont la surface n’excède pas 50 m2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w:t>
      </w:r>
    </w:p>
    <w:p>
      <w:r>
        <w:t>- 16/18 - A/3029/2015 la CA, des constructions de peu d’importance groupées d’une surface de plus de 50 m2 au total. Dans tous les cas, la surface totale des constructions de peu d’importance ne doit pas excéder 8 % de la surface de la parcelle et au maximum 100 m2 (art. 3 al. 3 du règlement d’application de la loi sur les constructions et les installations diverses du 27 février 1978 - RCI - L 5 05.01).</w:t>
      </w:r>
    </w:p>
    <w:p>
      <w:r>
        <w:t>c. L’ancien Tribunal administratif a déjà eu l’occasion d'admettre, conformément à l’art. 59 al. 10 LCI, la soustraction au calcul de rapport de surface d’un garage souterrain de 1'535 m2 dans la construction d’un ensemble de villas. La réalisation de cet ouvrage permettait d’éviter une « prolifération d’abris de voitures et autres constructions analogues en surface ». Il s’agissait d’un projet de construction et non pas d’une démolition avec reconstruction de bâtiments existants. Le projet prévoyait également la création de treize places de parking visiteurs en surface (ATA/100/2005 du 1er mars 2005, interprétation confirmée dans l'ATA/447/2010 du 29 juin 2010). Cette interprétation et son application dans le cas d’un projet a été confirmée par le Tribunal fédéral. Ce dernier a estimé qu’il n’était manifestement pas arbitraire de retenir que chacun des abris ou constructions analogues dont la construction avait été évitée, pris individuellement, aurait été une construction de peu d’importance au sens de l’art. 59 al. 10 LCI (arrêt du Tribunal fédéral 1A.105/2005 du 29 novembre 2005 consid. 6).</w:t>
      </w:r>
    </w:p>
    <w:p>
      <w:r>
        <w:t>d. En l'espèce, le DALE n'a pas inclus le parking souterrain de 605 m2 dans le calcul de la SBP en sous-sol. Il a ainsi tenu compte d'une surface de 310,3 m2 en sous-sol, surface venant s'ajouter aux 733,7 m2 de sous-sol existant, soit un rapport de surface de 16,8 %. Le maximum prévu par les dispositions pertinentes n’est donc pas atteint.</w:t>
      </w:r>
    </w:p>
    <w:p>
      <w:r>
        <w:t>Les recourants considèrent que la construction du garage souterrain était obligatoire, compte tenu de la présence du spa à la surface, et qu'il n'avait ainsi pas pour but de renoncer à l'édification de constructions de peu d'importance à destination de garages en surface. Cet argument ne résiste pas à l'examen. En effet, rien n'empêche de penser que, malgré la présence du spa, la construction d'un garage hors-sol aurait pu être sollicitée sur une autre surface de la parcelle. Il apparaît ainsi évident que la construction du garage au sous-sol permet de renoncer à la construction de garages ou d’abris à voiture en surface. De plus, le fait que le projet prévoit également la création de sept places de stationnement supplémentaires à l'extérieur, dans le prolongement des cinq places existantes, ne remet pas en cause ce qui précède dans la mesure où ces places ne constituent pas des constructions de peu d'importance au sens du RCI.</w:t>
      </w:r>
    </w:p>
    <w:p>
      <w:r>
        <w:t>Pour le surplus, il n'est pas contesté que le projet prévoit, comme l'invoquent les recourants, l'abattage de certains arbres. Or, d'une part, une autorisation pour ce faire leur a été délivrée le 5 août 2015. D'autre part, la réalisation d'un garage</w:t>
      </w:r>
    </w:p>
    <w:p>
      <w:r>
        <w:t>- 17/18 - A/3029/2015 sous-terrain plutôt qu'hors-sol préservera de manière prépondérante les espaces verts.</w:t>
      </w:r>
    </w:p>
    <w:p>
      <w:r>
        <w:t>C'est dès lors à juste titre que le TAPI a confirmé que la dérogation prévue à l’art. 59 al. 10 LCI, et octroyée par le DALE, était conforme au droit.</w:t>
      </w:r>
    </w:p>
    <w:p>
      <w:r>
        <w:t>Partant, ce grief sera également écarté. 11.</w:t>
      </w:r>
    </w:p>
    <w:p>
      <w:r>
        <w:t>Au vu de ce qui précède, le recours sera rejeté. 12.</w:t>
      </w:r>
    </w:p>
    <w:p>
      <w:r>
        <w:t>Un émolument de CHF 1'500.- sera mis à la charge des recourants, pris conjointement et solidairement (art. 87 al. 1 LPA). Ceux-ci seront condamnés, conjointement et solidairement, à verser à une indemnité de procédure de CHF 1'500.- à Madame Odelia et Messieurs Alain et Yoan AZOULAY, pris conjointement et solidairement, qui y ont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