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ATA/318/2014 vom 5. Mai 2014</w:t>
      </w:r>
    </w:p>
    <w:p>
      <w:r>
        <w:t>GE Cour de justice, 2014-05-05, FR</w:t>
      </w:r>
    </w:p>
    <w:p>
      <w:r>
        <w:rPr>
          <w:b/>
        </w:rPr>
        <w:t xml:space="preserve">Quelle: </w:t>
      </w:r>
      <w:r>
        <w:t>https://mcp.opencaselaw.ch/entscheid/ge_gerichte_ATA_318_2014</w:t>
      </w:r>
    </w:p>
    <w:p>
      <w:r>
        <w:t>FR: GE_GERICHTE ATA/318/2014 du 5 mai 2014</w:t>
      </w:r>
    </w:p>
    <w:p>
      <w:r>
        <w:t>IT: GE_GERICHTE ATA/318/2014 del 5 maggio 2014</w:t>
      </w:r>
    </w:p>
    <w:p>
      <w:pPr>
        <w:pStyle w:val="Heading2"/>
      </w:pPr>
      <w:r>
        <w:t>Erwägungen</w:t>
      </w:r>
    </w:p>
    <w:p>
      <w:r>
        <w:rPr>
          <w:b/>
        </w:rPr>
        <w:t>E. 24</w:t>
      </w:r>
    </w:p>
    <w:p>
      <w:r>
        <w:t>avril 2012 ; ATA/458/2011 du 26 juillet 2011 ; cf. toutefois ATA/735/2013 du 5 novembre 2013).</w:t>
      </w:r>
    </w:p>
    <w:p>
      <w:r>
        <w:t>En l'occurrence, le recourant se contente d’alléguer que ses intérêts – notamment sa capacité à assumer ses charges courantes – seraient fortement compromis du fait qu’il ne perçoit plus son traitement, mais n’expose pas quels sont les intérêts en question et ne fournit aucun élément permettant d’établir l’existence d’un préjudice irréparable.</w:t>
      </w:r>
    </w:p>
    <w:p>
      <w:r>
        <w:t>Cette question sera toutefois réservée en l'état, dès lors qu'elle doit être tranchée par la chambre de céans hors du cadre d'une décision présidentielle. 3) Aux termes de l’art. 66 LPA, sauf disposition légale contraire, le recours a effet suspensif à moins que l’autorité qui a pris la décision attaquée n’ait ordonné l’exécution nonobstant recours (al. 1) ; toutefois, lorsqu’aucun intérêt public ou privé prépondérant ne</w:t>
      </w:r>
    </w:p>
    <w:p>
      <w:r>
        <w:t>- 4/5 - A/1059/2014 s’y oppose, la juridiction de recours peut, sur la demande de la partie dont les intérêts sont gravement menacés, retirer ou restituer l’effet suspensif (al. 2).</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4) En l'espèce, la décision attaquée a un contenu positif, en ce sens qu'elle supprime des prestations - le traitement en particulier - précédemment accordées au recourant, et ne se contente pas de rejeter une prétention ou une demande.</w:t>
      </w:r>
    </w:p>
    <w:p>
      <w:r>
        <w:t>La restitution de l'effet suspensif reviendrait à admettre le droit du recourant à continuer de percevoir son traitement et correspondrait ainsi à ce qu'il demande au fond, ce qui est en principe prohibé. 5)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(ATA/206/2013 du 2 avril 2013 ; ATA/519/2012 du 10 août 2012) et prime les difficultés financières qu'il pourrait rencontrer du fait de la cessation du versement de son traitement. 6) Au vu de ce qui précède, la demande de restitution de l’effet suspensif sera refusée, le sort des frais de la procédure étant réservé jusqu’à droit jugé au fond. LA CHAMBRE ADMINISTRATIVE refuse de restituer l’effet suspensif au recours de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w:t>
      </w:r>
    </w:p>
    <w:p>
      <w:r>
        <w:t>- 5/5 - A/1059/2014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Giuseppe Donatiello, avocat du recourant, ainsi qu'à Me Pierre Martin-Achard, avocat de B______.</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