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ATA/317/2020 vom 31. März 2020</w:t>
      </w:r>
    </w:p>
    <w:p>
      <w:r>
        <w:t>GE Cour de justice, 2020-03-31, FR</w:t>
      </w:r>
    </w:p>
    <w:p>
      <w:r>
        <w:rPr>
          <w:b/>
        </w:rPr>
        <w:t xml:space="preserve">Quelle: </w:t>
      </w:r>
      <w:r>
        <w:t>https://mcp.opencaselaw.ch/entscheid/ge_gerichte_ATA_317_2020</w:t>
      </w:r>
    </w:p>
    <w:p>
      <w:r>
        <w:t>FR: GE_GERICHTE ATA/317/2020 du 31 mars 2020</w:t>
      </w:r>
    </w:p>
    <w:p>
      <w:r>
        <w:t>IT: GE_GERICHTE ATA/317/2020 del 31 marzo 2020</w:t>
      </w:r>
    </w:p>
    <w:p>
      <w:pPr>
        <w:pStyle w:val="Heading2"/>
      </w:pPr>
      <w:r>
        <w:t>Regeste</w:t>
      </w:r>
    </w:p>
    <w:p>
      <w:r>
        <w:t>Résumé: Confirmation du refus de la Commission du barreau de réinscrire le recourant au registre cantonal des avocats, par substitution de motifs, faute de remplir une des conditions personnelles exigées par la loi. La condamnation pénale pour tentative de contrainte – confirmée par le Tribunal fédéral – est une mention qui figure sur l’extrait privé de son casier judiciaire. Ladite condamnation porte sur des faits incompatibles avec la profession d’avocat, ce qui a aussi été définitivement tranché par le Tribunal fédéral. La Commission du barreau doit prendre en compte les mentions figurant sur l’extrait privé du casier judiciaire lors de l’examen de ladite condition. Pas de lacune de la loi. Recours rejeté.</w:t>
      </w:r>
    </w:p>
    <w:p>
      <w:pPr>
        <w:pStyle w:val="Heading2"/>
      </w:pPr>
      <w:r>
        <w:t>Erwägungen</w:t>
      </w:r>
    </w:p>
    <w:p>
      <w:r>
        <w:rPr>
          <w:b/>
        </w:rPr>
        <w:t>E. 1</w:t>
      </w:r>
    </w:p>
    <w:p>
      <w:r>
        <w:t>phr. 1 CP qui n’exigent pas une récidive spéciale, s’agissant de la question du succès ou échec du délai d’épreuve.</w:t>
      </w:r>
    </w:p>
    <w:p>
      <w:r>
        <w:t>De plus, ladite prolongation n’a pour effet de modifier ni la nature ni la gravité des actes à l’origine de la condamnation pénale pour tentative de contrainte. Par ailleurs, au vu des travaux préparatoires susmentionnés relatifs à la modification de l’art. 8 al. 1 let. b LLCA entrée en vigueur en 2007, la chambre de céans constate que la volonté du législateur fédéral est de soumettre la profession d’avocat à la réglementation générale du CP régissant le casier judiciaire, sans prévoir de spécificités particulières à ce domaine, notamment en ce qui concerne la durée des effets des inscriptions figurant sur l’extrait privé du casier judiciaire. Dans ces circonstances, il n’y a pas lieu de conclure à une quelconque lacune de la LLCA, contrairement à ce que soutient le recourant, mais plutôt à un silence qualifié du législateur. En outre, comme le rappelle le Tribunal fédéral dans l’ATF 137 II 425, il n’y a pas de place pour la proportionnalité lorsque la condition personnelle prévue à l’art. 8 al. 1 let. b LLCA n’est pas réalisée dans la mesure où il s’agit d’une mesure administrative. Dans ces circonstances, la commission ne pouvait, sans commettre de violation du droit ni d’excès ou abus du pouvoir d’appréciation, que refuser la réinscription du recourant au registre cantonal des avocats, dans la mesure où sa condamnation pénale pour tentative de contrainte figurait sur l’extrait privé de son casier judiciaire.</w:t>
      </w:r>
    </w:p>
    <w:p>
      <w:r>
        <w:t>- 15/16 - A/4674/2019</w:t>
      </w:r>
    </w:p>
    <w:p>
      <w:r>
        <w:t>Certes, la situation dans laquelle se trouve le recourant est compliquée, mais elle résulte principalement de son propre comportement. Vu sa profession, il ne pouvait ni ignorer, à partir de l’ordonnance pénale du 25 mars 2014 lui fixant un délai d’épreuve de trois ans, les implications de cette mesure, ni s’imaginer pouvoir employer un ressortissant étranger provenant d’un pays de l’Est de l’Europe, sans s’être au préalable assuré que ce dernier était autorisé à travailler en Suisse. Vu la proximité temporelle du jugement du Tribunal de police, du 16 juin 2015, avec l’engagement, à l’origine de la condamnation pénale de 2017, survenu entre le 1er avril 2015 et le 13 avril 2016, il ne revenait qu’au recourant de prendre toutes les mesures nécessaires pour s’assurer d’adopter un comportement irréprochable, à tout le moins du point de vue pénal et pendant la durée du délai d’épreuve, dont il ne pouvait, en raison de ses connaissances professionnelles, ignorer les conséquences. Au vu de l’ensemble de ces circonstances, le recourant ne saurait reprocher à la commission une atteinte disproportionnée à sa liberté économique, ce d’autant plus qu’il ne lui a pas été interdit d’exercer une activité de conseil juridique.</w:t>
      </w:r>
    </w:p>
    <w:p>
      <w:r>
        <w:t>Par conséquent, le recours sera rejeté et la décision litigieuse de la commission confirmée par substitution de motifs (art. 69 al. 1 LPA). 4)</w:t>
      </w:r>
    </w:p>
    <w:p>
      <w:r>
        <w:t>Vu l’issue du litige, un émolument de CHF 500.- est mis à la charge du recourant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