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ATA/317/2012 vom 22. Mai 2012</w:t>
      </w:r>
    </w:p>
    <w:p>
      <w:r>
        <w:t>GE Cour de justice, 2012-05-22, FR</w:t>
      </w:r>
    </w:p>
    <w:p>
      <w:r>
        <w:rPr>
          <w:b/>
        </w:rPr>
        <w:t xml:space="preserve">Quelle: </w:t>
      </w:r>
      <w:r>
        <w:t>https://mcp.opencaselaw.ch/entscheid/ge_gerichte_ATA_317_2012</w:t>
      </w:r>
    </w:p>
    <w:p>
      <w:r>
        <w:t>FR: GE_GERICHTE ATA/317/2012 du 22 mai 2012</w:t>
      </w:r>
    </w:p>
    <w:p>
      <w:r>
        <w:t>IT: GE_GERICHTE ATA/317/2012 del 22 maggio 2012</w:t>
      </w:r>
    </w:p>
    <w:p>
      <w:pPr>
        <w:pStyle w:val="Heading2"/>
      </w:pPr>
      <w:r>
        <w:t>Regeste</w:t>
      </w:r>
    </w:p>
    <w:p>
      <w:r>
        <w:t>Résumé: Une réclamation déposée le 15 avril 2009 au lieu du 31 mars 2009, tendant à la prise en considération de déductions supplémentaires dans le cadre de l'imposition à la source, doit être considérée comme tardive, les délais légaux ne pouvant en principe pas être restitués. Les raisons personnelles invoquées par le recourant ne constituent pas un cas de force majeure pouvant justifier l'inobservation du délai.</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qui lui est faite peut déposer une réclamation écrite et motivée auprès de l’administration si l’attestation tenant lieu de quittance a été remise avant le dernier jour du mois de</w:t>
      </w:r>
    </w:p>
    <w:p>
      <w:r>
        <w:t>- 5/9 - A/4065/2009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En l’espèce, le contribuable a déposé sa réclamation le 15 avril 2009 en sollicitant des déductions liées à des cotisations versées au cours de l’année 2008 pour le 3ème pilier A et dont il avait connaissance, l’attestation de l’assurance ayant été établie, selon le document produit à l’appui de la réclamation, au courant du mois de janvier 2009.</w:t>
      </w:r>
    </w:p>
    <w:p>
      <w:r>
        <w:t>Il résulte des déclarations de l’intéressé qu'il a admis avoir agi tardivement, soit en l’occurrence au-delà du délai fixé au 31 mars 2009 (art. 137 LIFD) du fait de raisons personnelles. Le passage qu’il aurait effectué le 31 mars 2009 dans les locaux de l’AFC-GE ne peut en effet être établi.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rPr>
          <w:b/>
        </w:rPr>
        <w:t>E. 5</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w:t>
      </w:r>
    </w:p>
    <w:p>
      <w:r>
        <w:t>- 6/9 - A/4065/2009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6</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7</w:t>
      </w:r>
    </w:p>
    <w:p>
      <w:r>
        <w:t>En l’espèce, ce dernier était en mesure de déclarer dans le délai qui lui était imparti les déductions qu'il souhaitait faire valoir. En revanche, ni l’employeur, ni l’AFC-GE, ne pouvaient connaître l’existence de versements du contribuable à une institution de prévoyance liée.</w:t>
      </w:r>
    </w:p>
    <w:p>
      <w:r>
        <w:t>- 7/9 - A/4065/2009</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 le 15 avril 2009 était tardive.</w:t>
      </w:r>
    </w:p>
    <w:p>
      <w:r>
        <w:rPr>
          <w:b/>
        </w:rPr>
        <w:t>E. 8</w:t>
      </w:r>
    </w:p>
    <w:p>
      <w:r>
        <w:t>Il convient dès lors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 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w:t>
      </w:r>
    </w:p>
    <w:p>
      <w:r>
        <w:t>En l'espèce, le contribuable a fait valoir d’une manière très générale dans sa réclamation déposée le 15 avril 2009 qu’il avait été confronté à de nombreuses tâches administratives en mars 2009, ce qui ne constitue pas, même si ce fait était établi, un juste motif au sens des jurisprudences précitées. Quant à son passage dans les locaux de l’AFC-GE le 31 mars 2009, il n’est pas établi par pièces et ne peut être considéré comme avéré.</w:t>
      </w:r>
    </w:p>
    <w:p>
      <w:r>
        <w:t>- 8/9 - A/4065/2009</w:t>
      </w:r>
    </w:p>
    <w:p>
      <w:r>
        <w:rPr>
          <w:b/>
        </w:rPr>
        <w:t>E. 9</w:t>
      </w:r>
    </w:p>
    <w:p>
      <w:r>
        <w:t>Au vu de ce qui précède, le recours de l'AFC-GE sera admis, le jugement du TAPI annulé et la décision sur réclamation prise par l’AFC-GE le 22 octobre 2009 rétablie. Un émolument de CHF 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