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ATA/313/2023 vom 28. März 2023</w:t>
      </w:r>
    </w:p>
    <w:p>
      <w:r>
        <w:t>GE Cour de justice, 2023-03-28, FR</w:t>
      </w:r>
    </w:p>
    <w:p>
      <w:r>
        <w:rPr>
          <w:b/>
        </w:rPr>
        <w:t xml:space="preserve">Quelle: </w:t>
      </w:r>
      <w:r>
        <w:t>https://mcp.opencaselaw.ch/entscheid/ge_gerichte_ATA_313_2023</w:t>
      </w:r>
    </w:p>
    <w:p>
      <w:r>
        <w:t>FR: GE_GERICHTE ATA/313/2023 du 28 mars 2023</w:t>
      </w:r>
    </w:p>
    <w:p>
      <w:r>
        <w:t>IT: GE_GERICHTE ATA/313/2023 del 28 marzo 2023</w:t>
      </w:r>
    </w:p>
    <w:p>
      <w:pPr>
        <w:pStyle w:val="Heading2"/>
      </w:pPr>
      <w:r>
        <w:t>Regeste</w:t>
      </w:r>
    </w:p>
    <w:p>
      <w:r>
        <w:t>Résumé: Recours contre une décision de suspension des fonctions du recourant à titre provisionnel, sans incidence sur son traitement. Il s'agit d'une décision incidente. Le recourant n'a pas démontré l'existence d'un préjudice irréparable et l'admission du recours ne serait pas susceptible de mettre fin à la procédure ouverte compte tenu de la décision d'ordonner une enquête administrative à son encontre. Recours irrecevable.</w:t>
      </w:r>
    </w:p>
    <w:p>
      <w:pPr>
        <w:pStyle w:val="Heading2"/>
      </w:pPr>
      <w:r>
        <w:t>Erwägungen</w:t>
      </w:r>
    </w:p>
    <w:p>
      <w:r>
        <w:rPr>
          <w:b/>
        </w:rPr>
        <w:t>E. 2</w:t>
      </w:r>
    </w:p>
    <w:p>
      <w:r>
        <w:t>05 ; ATA/1840/2019 du 20 décembre 2019 consid. 1 ; ATA/1362/2019 du 10 septembre 2019 consid. 1).</w:t>
      </w:r>
    </w:p>
    <w:p>
      <w:r>
        <w:t>En l’espèce, le recours contre la décision a été interjeté en temps utile (art. 62 al. 1 let. b de la loi sur la procédure administrative du 12 septembre 1985 - LPA - E 5 10) devant la juridiction compétente. L'acte de recours a de plus été régularisé pendant le délai de recours (art. 65 al. 1 et 2 LPA). 2) a.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consid. 4 ; 131 I 57 consid. 1 ; 129 III 107 consid. 1.2.1).</w:t>
      </w:r>
    </w:p>
    <w:p>
      <w:r>
        <w:t>c. 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ATA/219/2022 du 1er mars 2022 consid. 4a).</w:t>
      </w:r>
    </w:p>
    <w:p>
      <w:r>
        <w:t>- 9/12 - A/3364/2022</w:t>
      </w:r>
    </w:p>
    <w:p>
      <w:r>
        <w:t>e. Le fait que le membre du personnel conserve son traitement pendant sa libération de l’obligation de travailler, ce qui est le cas du recourant, exclut une quelconque atteinte à ses intérêts économiques (ATA/184/2020 du 18 février 2020 consid. 4 ; ATA/231/2017 du 22 février 2017 consid. 4).</w:t>
      </w:r>
    </w:p>
    <w:p>
      <w:r>
        <w:t>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(ATA/184/2020 précité consid. 4 ; ATA/1020/2018 du 2 octobre 2018 consid. 4b ; ATA/231/2017 précité consid. 5).</w:t>
      </w:r>
    </w:p>
    <w:p>
      <w:r>
        <w:t>f.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3)</w:t>
      </w:r>
    </w:p>
    <w:p>
      <w:r>
        <w:t>Selon l'art. 2 de la loi sur l'hospice du 17 mars 2006 (LHG - J 4 07), l'hospice est un établissement de droit public doté de la personnalité juridique (al. 1), avec siège à Genève (al. 2).</w:t>
      </w:r>
    </w:p>
    <w:p>
      <w:r>
        <w:t>Les relations entre l'hospice et son personnel sont régies, selon l’art. 23 LHG, par la loi générale relative au personnel de l’administration cantonale, du pouvoir judiciaire et des établissements publics médicaux du 4 décembre 1997 (LPAC - B 5 05). 4) a. Aux termes de l’art. 28 LPAC, dans l'attente du résultat d'une enquête administrative ou d'une information pénale, le CA peut, de son propre chef ou à la demande de l'intéressé, suspendre provisoirement un membre du personnel auquel il est reproché une faute de nature à compromettre la confiance ou l'autorité qu'implique l'exercice de sa fonction. Au sein de l'établissement, le président du CA peut procéder, à titre provisionnel et sans délai, à la suspension de l'intéressé (al. 1). Cette décision est notifiée par lettre motivée (al. 2). La suspension provisoire peut entraîner la suppression de toute prestation à la charge de l’État ou de l’établissement (al. 3).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(al. 4).</w:t>
      </w:r>
    </w:p>
    <w:p>
      <w:r>
        <w:t>b. Selon la jurisprudence, une suspension provisoire d'un fonctionnaire peut être justifiée soit par les besoins de l'enquête administrative, soit en tant qu'exécution anticipée, à titre provisionnel, de la fin des rapports de service en raison d'une faute alléguée de nature à rompre la confiance qu'implique l'exercice de la fonction de l'intéressé (ATA/219/2022 du 1er mars 2022 consid. 6b et les</w:t>
      </w:r>
    </w:p>
    <w:p>
      <w:r>
        <w:t>- 10/12 - A/3364/2022 arrêts cités). Dans ce dernier cas, la mesure n'est justifiée que si trois conditions sont remplies : 1) la faute reprochée à l'intéressé doit être de nature, a priori, à justifier une cessation immédiate de l'exercice de sa fonction ; 2) la prévention de faute à l'encontre de l'intéressé doit être suffisante, même si, s'agissant d'une mesure provisionnelle prise précisément pendant la durée d'une enquête administrative ou pénale, une preuve absolue ne peut évidemment pas être exigée ; 3) la suspension devra apparaître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 (ATA/510/2017 du 9 mai 2017 consid. 6). 5) a. En l’espèce, le recourant, qui continue à percevoir son traitement pendant sa suspension de ses fonctions, n'invoque à juste titre pas d'atteinte à ses intérêts économiques, mais fait valoir les répercussions sur son état de santé causées par sa mise à l'écart subite et injustifiée. Sa réputation serait par ailleurs ternie, dans la mesure où la décision donne à penser qu'il serait sans conteste coupable d'agissements particulièrement graves.</w:t>
      </w:r>
    </w:p>
    <w:p>
      <w:r>
        <w:t>Or, outre le fait que le recourant n'a donné aucune précision à propos de son état de santé, ni fourni le moindre certificat médical, la jurisprudence de la chambre administrative a, de façon constante, considéré qu'un dommage psychologique résultant du fait de la libération de travailler, de la suspension provisoire ou de la résiliation des rapports de service ne saurait à lui seul justifier la réintégration à titre provisoire (ATA/1020/2018 du 2 octobre 2018 consid. 4b ; ATA/663/2018 du 26 juin 2018 consid. 4b et les références citées). Dans ces conditions, l’existence d’un dommage irréparable n’est pas établie sous cet angle.</w:t>
      </w:r>
    </w:p>
    <w:p>
      <w:r>
        <w:t>En second lieu, l'atteinte à sa réputation ne peut constituer un préjudice irréparable au sens de l'art. 57 let. c LPA, conformément à la jurisprudence précitée et constante de la chambre de céans, puisqu'une décision finale entièrement favorable permettrait de la réparer.</w:t>
      </w:r>
    </w:p>
    <w:p>
      <w:r>
        <w:t>Au vu de ce qui précède, le recourant développe dans son acte de recours principalement une argumentation au fond, sans démontrer l'existence d'un préjudice irréparable, de sorte que la première hypothèse de l'art. 57 let. c LPA n'est pas réalisée.</w:t>
      </w:r>
    </w:p>
    <w:p>
      <w:r>
        <w:t>b. La seconde hypothèse de l’art. 57 let. c LPA ne l'est pas davantage, ce que le recourant ne prétend d'ailleurs pas. L'admission du recours ne serait en effet pas susceptible de mettre fin à la procédurpe administrative en cours ouverte à son encontre, étant rappelé que, par décision du 14 octobre 2022, l'hospice a ordonné l’ouverture d’une enquête administrative à l'encontre du recourant.</w:t>
      </w:r>
    </w:p>
    <w:p>
      <w:r>
        <w:t>- 11/12 - A/3364/2022</w:t>
      </w:r>
    </w:p>
    <w:p>
      <w:r>
        <w:t>En conséquence, les conditions de recevabilité d'un recours contre une décision incidente au sens de l'art. 57 let. c LPA ne sont pas remplies. Il n’y a dès lors pas lieu de donner suite aux mesures d’instruction sollicitées, ni d’examiner les griefs de fond soulevés par le recourant. 6)</w:t>
      </w:r>
    </w:p>
    <w:p>
      <w:r>
        <w:t>Compte tenu de l’issue du litige et la décision sur effet suspensif, un émolument de CHF 1'000.- sera mis à la charge du recourant, qui succombe (art. 87 al. 1 LPA). Il ne sera pas alloué d’indemnité de procédure (art. 87 al. 2 LPA).</w:t>
      </w:r>
    </w:p>
    <w:p>
      <w:r>
        <w:t>Le recourant n’a pas pris de conclusions pécuniaires. Les conséquences de la suspension ne comportent, selon la volonté de l’intimé, pas d’effets financiers. La valeur litigieuse est ainsi difficile à estimer (art. 51 al. 1 let. c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