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ATA/311/2021 vom 9. März 2021</w:t>
      </w:r>
    </w:p>
    <w:p>
      <w:r>
        <w:t>GE Cour de justice, 2021-03-09, FR</w:t>
      </w:r>
    </w:p>
    <w:p>
      <w:r>
        <w:rPr>
          <w:b/>
        </w:rPr>
        <w:t xml:space="preserve">Quelle: </w:t>
      </w:r>
      <w:r>
        <w:t>https://mcp.opencaselaw.ch/entscheid/ge_gerichte_ATA_311_2021</w:t>
      </w:r>
    </w:p>
    <w:p>
      <w:r>
        <w:t>FR: GE_GERICHTE ATA/311/2021 du 9 mars 2021</w:t>
      </w:r>
    </w:p>
    <w:p>
      <w:r>
        <w:t>IT: GE_GERICHTE ATA/311/2021 del 9 marzo 2021</w:t>
      </w:r>
    </w:p>
    <w:p>
      <w:pPr>
        <w:pStyle w:val="Heading2"/>
      </w:pPr>
      <w:r>
        <w:t>Erwägungen</w:t>
      </w:r>
    </w:p>
    <w:p>
      <w:r>
        <w:rPr>
          <w:b/>
        </w:rPr>
        <w:t>E. 27</w:t>
      </w:r>
    </w:p>
    <w:p>
      <w:r>
        <w:t>octobre 2020 consid. 7). 8)</w:t>
      </w:r>
    </w:p>
    <w:p>
      <w:r>
        <w:t>En l'espèce, les sommes que la recourante a reçues entre le 29 avril 2016 et le 29 mai 2017 pour un montant total convertis de CHF 190'622.- sont venues accroître son patrimoine sans contrepartie et représentent de ce fait a priori une donation soumise aux droits d'enregistrement au sens de la LDE.</w:t>
      </w:r>
    </w:p>
    <w:p>
      <w:r>
        <w:t>Même s'il ressort de l'attestation signée par M. C______ le 6 décembre 2016 qu'il a effectué ces versements dans le cadre d'une « réparation et dédommagement des préjudices » que la recourante avait pu avoir subi par la faute de l'intéressé, cela ne suffit pas à exclure l'animus donandi du donateur.</w:t>
      </w:r>
    </w:p>
    <w:p>
      <w:r>
        <w:t>La recourante devant supporter le fardeau de la preuve en application de la jurisprudence précitée, elle devait prouver le lien de causalité entre son préjudice et les versements reçus de la part de M. C______.</w:t>
      </w:r>
    </w:p>
    <w:p>
      <w:r>
        <w:t>Or et mis à part le document du 6 décembre 2016 signé par M. C______ dont il ne ressort pas à qui il est destiné ni pour quelles raisons il aurait causé un préjudice à sa belle-sœur, rien dans le dossier vient à l'appui de la position de la recourante.</w:t>
      </w:r>
    </w:p>
    <w:p>
      <w:r>
        <w:t>Elle n'a par exemple pas produit les notes d'honoraires de l'avocat par rapport à sa régularisation fiscale en France, ainsi qu'à F______. En outre, le courrier de son avocat du 26 février 2016 qui aurait précédé l'attestation du 6 décembre 2016 du donateur ne dit rien sur la responsabilité de M. C______ dans les ennuis qu'aurait connus la recourante avec le fisc français. Sa réponse du 19 avril 2016 à cet avocat n'évoque aucunement une éventuelle responsabilité de</w:t>
      </w:r>
    </w:p>
    <w:p>
      <w:r>
        <w:t>- 16/19 - A/3051/2019 la part de son beau-frère dans les coûts importants qu'elle aurait eu à supporter à l'égard du fisc français.</w:t>
      </w:r>
    </w:p>
    <w:p>
      <w:r>
        <w:t>Au vu de ces éléments, force est de constater que la recourante échoue à apporter la preuve que les versements opérés par M. C______ ont été effectués par devoir moral, au sens de l'art. 239 al. 3 CO, excluant ainsi la condition subjective de l'animus donandi.</w:t>
      </w:r>
    </w:p>
    <w:p>
      <w:r>
        <w:t>Enfin et en tout état de cause, le règlement par M. C______ d'éventuelles amendes fiscales pour le compte de la recourante ne constitue pas un devoir moral, conformément à la jurisprudence du Tribunal fédéral précitée.</w:t>
      </w:r>
    </w:p>
    <w:p>
      <w:r>
        <w:t>Par conséquent, les six versements de M. C______ d'un montant total de CHF 190'622.-, effectués entre le 29 avril 2016 et le 29 mai 2017, constituent une donation imposable dans le chef de la recourante en vertu de la LDE.</w:t>
      </w:r>
    </w:p>
    <w:p>
      <w:r>
        <w:t>Aucun arbitraire ne peut en conséquence être reproché à l'AFC-GE.</w:t>
      </w:r>
    </w:p>
    <w:p>
      <w:r>
        <w:t>Quant à la problématique du délai pour déclarer une donation (art. 160 aLDE), son irrespect ne saurait invalider la donation, puisque l'art. 174 al. 1 aLDE prévoit uniquement une amende. En outre, la prescription du droit de l'AFC-GE d’assujettir la recourante aux droits d’enregistrement n'était pas acquise (art. 185 al. 1 let. b ch. 1 LDE).</w:t>
      </w:r>
    </w:p>
    <w:p>
      <w:r>
        <w:t>La recourante ne peut donc rien déduire de cette disposition légale. 9) a. Selon l'art. 412 al. 1 CC, le curateur ne peut, au nom de la personne concernée, procéder à des cautionnements ni créer des fondations ou effectuer des donations, à l’exception des présents d’usage.</w:t>
      </w:r>
    </w:p>
    <w:p>
      <w:r>
        <w:t>b. Contrairement à ce que soutient la recourante, le curateur de M. C______ s'est limité à remplir, le 29 mars 2019, une déclaration de donation à l'attention de l'AFC-GE. Il n'a aucunement procédé lui-même à la donation mobilière pour le compte de son pupille entre les 29 avril 2016 et 29 mai 2017, ce d'autant plus que dans le document du 6 décembre 2016, M. C______ s'est déclaré « sain de corps et d'esprit ».</w:t>
      </w:r>
    </w:p>
    <w:p>
      <w:r>
        <w:t>Le curateur de M. C______ ayant effectué cette déclaration dans le cadre de son mandat, le grief de la recourante est mal fondé. 10) a. L'art. 18 LDE prévoit que les droits sur les donations entre vifs sont perçus sur la valeur des biens donnés, sous déduction de celle des dettes non prescrites du donateur, mises à la charge du donataire par l’acte de donation et dûment justifiées, mais sans aucune distraction pour les charges et sans tenir compte des conditions de la donation. Sont réservées les dispositions prévues à l’art. 31 LDE concernant les donations sous condition suspensive de la survie du donataire</w:t>
      </w:r>
    </w:p>
    <w:p>
      <w:r>
        <w:t>- 17/19 - A/3051/2019 (al. 1). Pour le calcul des droits, il est tenu compte des donations assujetties à l’enregistrement depuis moins de dix ans (al. 7).</w:t>
      </w:r>
    </w:p>
    <w:p>
      <w:r>
        <w:t>La LDE prévoit aux art. 19 LDE (1ère catégorie : ligne directe, époux et alliés), 21 LDE (3ème catégorie : frères et sœurs), 22 LDE (4ème catégorie : oncles, tantes, grands-oncles, grands-tantes, neveux, nièces, petits-neveux, petites-nièces) et 23 LDE (5ème catégorie : autres cas) les différents tarifs des droits de donation.</w:t>
      </w:r>
    </w:p>
    <w:p>
      <w:r>
        <w:t>Selon l'art. 21 LDE (3ème catégorie), le tarif des droits de donation entre frères et sœurs est fixé à 10 % de CHF 100'001.- à CHF 200'000.- (al. 1). Pour les conjoints des frères et sœurs du donateur et pour les frères et sœurs du conjoint du donateur, les droits sont doublés (al. 2), donc de 20 %.</w:t>
      </w:r>
    </w:p>
    <w:p>
      <w:r>
        <w:t>b. En l'occurrence, la recourante a produit les actes de naissance de feu son mari ainsi que celui de M. C______ datés du 22 septembre 2020. Il en ressort d'une part que ceux-ci sont frères et que la recourante était mariée à M. B______ jusqu'à son décès.</w:t>
      </w:r>
    </w:p>
    <w:p>
      <w:r>
        <w:t>La recourante a ainsi apporté la preuve qu'elle est la belle-sœur de M. C______.</w:t>
      </w:r>
    </w:p>
    <w:p>
      <w:r>
        <w:t>Dès lors, le tarif des droits de donation de l'art. 21 al. 1 et 2 LDE lui est applicable.</w:t>
      </w:r>
    </w:p>
    <w:p>
      <w:r>
        <w:t>Il convient par conséquent d'annuler le bordereau du 11 juin 2019 et de renvoyer le dossier à l'AFC-GE afin qu'elle recalcule les droits d'enregistrement avec un tarif de 20 % conformément à l'art. 21 al. 1 et 2 LDE (3ème catégorie), étant relevé qu'elle s'était engagée à le faire en cas de lien de parenté démontré.</w:t>
      </w:r>
    </w:p>
    <w:p>
      <w:r>
        <w:t>Au vu de ce qui précède, le recours sera partiellement admis. Le jugement du TAPI du 8 juin 2020, la décision sur réclamation du 25 juillet 2019, ainsi que le bordereau de droits d'enregistrement du 11 juin 2019 seront annulés, en tant qu'ils portent sur le tarif des droits d'enregistrement. 11) Vu l'issue du litige, un émolument réduit de CHF 1'000.- sera mis à la charge de la recourante, qui succombe dans une très large mesure (art. 87 al. 1 LPA). Aucune indemnité de procédure ne sera allouée à la recourante, qui succombe sur le principe (art. 87 al. 2 LPA).</w:t>
      </w:r>
    </w:p>
    <w:p>
      <w:r>
        <w:t>* * * * *</w:t>
      </w:r>
    </w:p>
    <w:p>
      <w:r>
        <w:t>- 18/19 - A/3051/2019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