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ATA/310/2014 vom 29. April 2014</w:t>
      </w:r>
    </w:p>
    <w:p>
      <w:r>
        <w:t>GE Cour de justice, 2014-04-29, FR</w:t>
      </w:r>
    </w:p>
    <w:p>
      <w:r>
        <w:rPr>
          <w:b/>
        </w:rPr>
        <w:t xml:space="preserve">Quelle: </w:t>
      </w:r>
      <w:r>
        <w:t>https://mcp.opencaselaw.ch/entscheid/ge_gerichte_ATA_310_2014</w:t>
      </w:r>
    </w:p>
    <w:p>
      <w:r>
        <w:t>FR: GE_GERICHTE ATA/310/2014 du 29 avril 2014</w:t>
      </w:r>
    </w:p>
    <w:p>
      <w:r>
        <w:t>IT: GE_GERICHTE ATA/310/2014 del 29 aprile 2014</w:t>
      </w:r>
    </w:p>
    <w:p>
      <w:pPr>
        <w:pStyle w:val="Heading2"/>
      </w:pPr>
      <w:r>
        <w:t>Erwägungen</w:t>
      </w:r>
    </w:p>
    <w:p>
      <w:r>
        <w:rPr>
          <w:b/>
        </w:rPr>
        <w:t>E. 12</w:t>
      </w:r>
    </w:p>
    <w:p>
      <w:r>
        <w:t>septembre 1985 - LPA - E 5 10). 2) a. Les délais de réclamation et de recours fixés par la loi sont des dispositions impératives de droit public. Ils ne sont, en principe, pas susceptibles d’être prolongés (art. 119 al. 1 de la loi fédérale sur l’impôt fédéral direct du</w:t>
      </w:r>
    </w:p>
    <w:p>
      <w:r>
        <w:rPr>
          <w:b/>
        </w:rPr>
        <w:t>E. 14</w:t>
      </w:r>
    </w:p>
    <w:p>
      <w:r>
        <w:t>décembre 1990 - LIFD - RS 642.11 ; art. 21 al. 1 de la loi genevoise de procédure fiscale du 4 octobre 2001 - LPFisc - D 3 17 ; art. 16 al. 1 1ère phrase LPA), restitués ou suspendus, si ce n’est par le législateur lui-même (ATA/199/2012 du 3 avril 2012 consid. 3 ; ATA/351/2011 du 31 mai 2011 consid. 4 ; ATA/515/2009 du 13 octobre 2009 consid. 4 ; ATA/266/2009 du 26 mai 2009 consid. 2). Ainsi, celui qui n’agit pas dans le délai prescrit est forclos et la décision en cause acquiert force obligatoire (ATA/712/2010 du 19 octobre 2010 et les références citées).</w:t>
      </w:r>
    </w:p>
    <w:p>
      <w:r>
        <w:t>b. Aux termes des art. 132 al. 1 LIFD et 39 al. 1 LPFisc, le contribuable peut adresser à l’autorité une réclamation écrite contre la décision de taxation dans les trente jours qui suivent sa notification. 3. a. Selon les art. 46 LPA, 116 al. 1 LIFD et 19 al. 1 LPFisc, les décisions et les prononcés sont notifiés au contribuable par écrit et doivent indiquer les voies de droit.</w:t>
      </w:r>
    </w:p>
    <w:p>
      <w:r>
        <w:t>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p. 297). S’agissant d’un acte soumis à réception, la notification est réputée parfaite au moment où la décision entre dans la sphère d’influence de son destinataire (ATA/199/2012 précité). 4.</w:t>
      </w:r>
    </w:p>
    <w:p>
      <w:r>
        <w:t>De jurisprudence constante, si une autorité envoie une décision soumise à recours par pli simple, c’est à elle de supporter le risque de l’absence de preuve de la date de notification (ATF 129 I 8 consid. 2.2 p. 10 ; 124 V 400 consid. 2a p. 402 ; 122 I 97 consid. 3b p. 2). Ainsi, l’AFC-GE n’envoyant pas ses décisions par pli recommandé, le fardeau de la preuve de la notification lui incombait (ATA/157/2007 du 27 mars 2007). Cela étant, lorsque le contribuable ne conteste pas avoir reçu la décision peu de temps après sa date d’expédition, ni n’allègue ne</w:t>
      </w:r>
    </w:p>
    <w:p>
      <w:r>
        <w:t>- 4/5 - A/2833/2012 l’avoir jamais reçue, la chambre administrative admet que la décision entreprise a été réceptionnée quelques jours après son expédition (ATA/137/2012 du 13 mars 2012). 5.</w:t>
      </w:r>
    </w:p>
    <w:p>
      <w:r>
        <w:t>En l’espèce, les décisions initiales ont été expédiées la 31 août 2011. L’AFC-GE a postérieurement adressé aux recourants un rappel, puis une sommation, en recommandé. Ce n’est toutefois que sept mois après avoir reçu ce dernier courrier que la réclamation a été déposée.</w:t>
      </w:r>
    </w:p>
    <w:p>
      <w:r>
        <w:t>Partant, celle-ci était tardive, puisque ne respectant pas le délai de trente jours dans lequel elle pouvait être formulée. C’est à juste titre que le TAPI a considéré que la réclamation était irrecevable. Le recours sera en conséquence rejeté. 6.</w:t>
      </w:r>
    </w:p>
    <w:p>
      <w:r>
        <w:t>Vu l’issue du litige, un émolument de CHF 500.- sera mis à la charge des recourants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