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ATA/310/2011 vom 17. Mai 2011</w:t>
      </w:r>
    </w:p>
    <w:p>
      <w:r>
        <w:t>GE Cour de justice, 2011-05-17, FR</w:t>
      </w:r>
    </w:p>
    <w:p>
      <w:r>
        <w:rPr>
          <w:b/>
        </w:rPr>
        <w:t xml:space="preserve">Quelle: </w:t>
      </w:r>
      <w:r>
        <w:t>https://mcp.opencaselaw.ch/entscheid/ge_gerichte_ATA_310_2011</w:t>
      </w:r>
    </w:p>
    <w:p>
      <w:r>
        <w:t>FR: GE_GERICHTE ATA/310/2011 du 17 mai 2011</w:t>
      </w:r>
    </w:p>
    <w:p>
      <w:r>
        <w:t>IT: GE_GERICHTE ATA/310/2011 del 17 maggio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chambre administrative examine d’office sa compétence (art. 11 al. 2 LPA par renvoi de l’art. 64 al. 2 LPA).</w:t>
      </w:r>
    </w:p>
    <w:p>
      <w:r>
        <w:t>Elle est l’autorité supérieure ordinaire de recours en matière administrative (art. 132 de la loi sur l'organisation judiciaire du 26 septembre 2010 - LOJ - E 2 05). Le recours auprès d’elle est ouvert contre les décisions des autorités et juridictions administratives au sens des articles 4, 4A, 5, 6, al. 1, let. a et e, et 57 LPA, sauf exception prévue par la loi ou lorsque sa saisine est prévue dans les lois particulières (art. 132 al. 2 à 8 LOJ).</w:t>
      </w:r>
    </w:p>
    <w:p>
      <w:r>
        <w:rPr>
          <w:b/>
        </w:rPr>
        <w:t>E. 2</w:t>
      </w:r>
    </w:p>
    <w:p>
      <w:r>
        <w:t>En l’espèce, il ressort de l’audience de comparution personnelle que Mme J______ désire consulter l’intégralité du dossier la concernant en mains de l’hospice et en obtenir une copie. Les demandes qu’elle avait transmises jusqu’alors à l’intimée n’avaient pas été comprises dans ce sens et, en l’état, l’hospice n’a pas rendu de décision concernant cette requête.</w:t>
      </w:r>
    </w:p>
    <w:p>
      <w:r>
        <w:rPr>
          <w:b/>
        </w:rPr>
        <w:t>E. 3</w:t>
      </w:r>
    </w:p>
    <w:p>
      <w:r>
        <w:t>Au vu de ce qui précède, le recours sera déclaré irrecevable et transmis à l'hospice (art. 64 al. 2 LPA), auquel il appartiendra de statuer sur la requête de l’intéressée par une décision.</w:t>
      </w:r>
    </w:p>
    <w:p>
      <w:r>
        <w:t>Dès lors que Mme J______ peut en tout temps former une telle requête, il n’est pas nécessaire de déterminer si la chambre administrative avait à tort rayé du rôle la première procédure ouverte, ou si un motif de révision existe.</w:t>
      </w:r>
    </w:p>
    <w:p>
      <w:r>
        <w:rPr>
          <w:b/>
        </w:rPr>
        <w:t>E. 4</w:t>
      </w:r>
    </w:p>
    <w:p>
      <w:r>
        <w:t>Vu l’issue et la nature du litige, aucun émolument ne sera perçu (art. 87 LPA). * * * * *</w:t>
      </w:r>
    </w:p>
    <w:p>
      <w:r>
        <w:t>- 4/4 - A/501/2011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