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ATA/309/2016 vom 12. April 2016</w:t>
      </w:r>
    </w:p>
    <w:p>
      <w:r>
        <w:t>GE Cour de justice, 2016-04-12, FR</w:t>
      </w:r>
    </w:p>
    <w:p>
      <w:r>
        <w:rPr>
          <w:b/>
        </w:rPr>
        <w:t xml:space="preserve">Quelle: </w:t>
      </w:r>
      <w:r>
        <w:t>https://mcp.opencaselaw.ch/entscheid/ge_gerichte_ATA_309_2016</w:t>
      </w:r>
    </w:p>
    <w:p>
      <w:r>
        <w:t>FR: GE_GERICHTE ATA/309/2016 du 12 avril 2016</w:t>
      </w:r>
    </w:p>
    <w:p>
      <w:r>
        <w:t>IT: GE_GERICHTE ATA/309/2016 del 12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À teneur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2c/aa p. 43 ; arrêt du Tribunal fédéral 1A.47/2002 du 16 avril 2002 consid. 3 ; ATA/670/2015 du 23 juin 2015 consid. 2b et les références citées).</w:t>
      </w:r>
    </w:p>
    <w:p>
      <w:r>
        <w:t>c. Un intérêt digne de protection suppose un intérêt actuel à obtenir l’annulation de la décision attaquée (ATF 135 I 79 consid. 1 p. 81 ; 128 II 34 consid. 1b p. 36 ; ATA/1066/2015 du 6 octobre 2015).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ATA/670/2015 précité consid. 2c et les références citées) ou déclaré irrecevable (ATF 123 II 285 consid. 4 p. 286 ss ; ATA/670/2015 précité consid. 2c et les références citées).</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ATA/670/2015 précité consid. 2d et les références citées)</w:t>
      </w:r>
    </w:p>
    <w:p>
      <w:r>
        <w:t>e. En l'espèce, le recourant dispose d'un intérêt digne de protection à recourir contre la sanction prononcée contre lui. La légalité d’un placement en cellule forte</w:t>
      </w:r>
    </w:p>
    <w:p>
      <w:r>
        <w:t>- 4/8 - A/3181/2015 doit pouvoir faire l’objet d’un contrôle en vertu de la jurisprudence du Tribunal fédéral précitée, nonobstant l’absence d’intérêt actuel, puisque cette sanction a déjà été exécutée, dans la mesure où cette situation pourrait encore se présenter (ATA/670/2015 précité consid. 2e ; ATA/183/2013 du 19 mars 2013 et la jurisprudence citée), dès lors qu'il est actuellement toujours détenu à Champ- Dollon. Il en va de même de la suppression de travail, dont la durée est indéterminée.</w:t>
      </w:r>
    </w:p>
    <w:p>
      <w:r>
        <w:t>Le recours est ainsi pleinement recevable.</w:t>
      </w:r>
    </w:p>
    <w:p>
      <w:r>
        <w:rPr>
          <w:b/>
        </w:rPr>
        <w:t>E. 3</w:t>
      </w:r>
    </w:p>
    <w:p>
      <w:r>
        <w:t>Le recourant conteste le bien-fondé de la décision du 12 août 2015 du directeur, consistant en la mise en cellule forte pour cinq jours et la suppression du travail.</w:t>
      </w:r>
    </w:p>
    <w:p>
      <w:r>
        <w:rPr>
          <w:b/>
        </w:rPr>
        <w:t>E. 4</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rPr>
          <w:b/>
        </w:rPr>
        <w:t>E. 5</w:t>
      </w:r>
    </w:p>
    <w:p>
      <w:r>
        <w:t>a.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Selon l’art. 47 al. 3 RRIP, le directeur de la prison est compétent pour prononcer les sanctions suivantes :</w:t>
      </w:r>
    </w:p>
    <w:p>
      <w:r>
        <w:t>a) suppression de visite pour quinze jours au plus ;</w:t>
      </w:r>
    </w:p>
    <w:p>
      <w:r>
        <w:t>b) suppression des promenades collectives ;</w:t>
      </w:r>
    </w:p>
    <w:p>
      <w:r>
        <w:t>c) suppression d’achat pour quinze jours au plus ;</w:t>
      </w:r>
    </w:p>
    <w:p>
      <w:r>
        <w:t>d) suppression de l’usage des moyens audiovisuels pour quinze jours au plus ;</w:t>
      </w:r>
    </w:p>
    <w:p>
      <w:r>
        <w:t>e) privation de travail ;</w:t>
      </w:r>
    </w:p>
    <w:p>
      <w:r>
        <w:t>f) placement en cellule forte pour dix jours au plus.</w:t>
      </w:r>
    </w:p>
    <w:p>
      <w:r>
        <w:t>- 5/8 - A/3181/2015</w:t>
      </w:r>
    </w:p>
    <w:p>
      <w:r>
        <w:t>b.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(ATA/79/2016 du 26 janvier 2016 consid. 5 ; ATA/972/2015 du 22 septembre 2015 et les références citées).</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parmi lesquels figurent les surveillantes, sont également des fonctionnaires assermentés (art. 3 al. 1 let. a ch. 6 et 7 LOPP), le même raisonnement peut être appliqué aux rapports établis par ces derniers (ATA/79/2016 précité consid. 5 ; ATA/295/2015 du 24 mars 2015).</w:t>
      </w:r>
    </w:p>
    <w:p>
      <w:r>
        <w:t>c. Selon la doctrine, la menace peut être exprimée par la parole, l'écrit ou par un comportement concluant (Bernard CORBOZ, Les infractions en droit suisse, 3ème éd., 2010, vol. 1, n. 5 ad art. 180 CP, p. 694).</w:t>
      </w:r>
    </w:p>
    <w:p>
      <w:r>
        <w:t>d. En l’espèce, aucun élément du dossier ne permet de mettre en question le rapport établi par le gardien, le recourant se limitant à opposer sa version des faits à celle constatée et vécue par le gardien. Dès lors, compte tenu de la jurisprudence précitée, la chambre de céans retiendra que l’incident s’est déroulé conformément à ce qui est décrit dans le rapport. Il est de nature à entraîner le prononcé d’une sanction.</w:t>
      </w:r>
    </w:p>
    <w:p>
      <w:r>
        <w:rPr>
          <w:b/>
        </w:rPr>
        <w:t>E. 6</w:t>
      </w:r>
    </w:p>
    <w:p>
      <w:r>
        <w:t>La sanction doit être conforme au principe de la proportionnalité.</w:t>
      </w:r>
    </w:p>
    <w:p>
      <w:r>
        <w:t>a. Le principe de la proportionnalité, garanti par l’art. 5 al. 2 Cst., exige qu’une mesure restrictive soit apte à produire les résultats escomptés et que ceux-ci ne</w:t>
      </w:r>
    </w:p>
    <w:p>
      <w:r>
        <w:t>- 6/8 - A/3181/2015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ATA/295/2015 du 24 mars 2015 consid. 7 ; ATA/735/2013 du 5 novembre 2013 consid. 11).</w:t>
      </w:r>
    </w:p>
    <w:p>
      <w:r>
        <w:t>b. Dans sa jurisprudence récente, la chambre de céans a eu à statuer sur des recours de détenus contre des décisions de sanction consistant en leur placement en cellule forte pour certains faits, notamment pour des menaces.</w:t>
      </w:r>
    </w:p>
    <w:p>
      <w:r>
        <w:t>Dans l'ATA/670/2015 du 23 juin 2015, le détenu en question avait été sanctionné de trois jours de cellule forte pour trouble à l’ordre de l’établissement, injures et menaces envers le personnel. Il avait notamment menacé les gardiens par ces termes : « je vais trouver toutes vos adresses et je vais vous retrouver dehors ». La chambre administrative a rejeté le recours de l'intéressé considérant le placement en cellule forte pour trois jours comme étant justifié et respectant le principe de la proportionnalité.</w:t>
      </w:r>
    </w:p>
    <w:p>
      <w:r>
        <w:t>Dans l'ATA/13/2015 du 6 janvier 2015, le détenu avait été sanctionné de deux jours de cellule forte pour injures et menaces envers le personnel, ainsi que refus d'obtempérer. Il avait notamment dit au gardien-chef adjoint présent « fais attention à ta femme et tes enfants, quand je sortirai je m'en occuperai ». La chambre administrative a rejeté le recours de l'intéressé considérant le placement en cellule forte pour deux jours comme étant justifié et respectant le principe de la proportionnalité.</w:t>
      </w:r>
    </w:p>
    <w:p>
      <w:r>
        <w:t>Dans l’ATA/238/2016 du 15 mars 2016, le détenu avait été sanctionné de sept jours de cellule forte pour menaces envers le personnel, pour avoir fait mine, par deux fois, de tirer en direction d’une surveillante. La chambre administrative a admis partiellement le recours et constaté que la sanction était disproportionnée, le seul antécédent du recourant devant être relativisé car remontant à une incarcération antérieure trois ans auparavant, aucun rapport d’incident n’ayant été établi depuis sa nouvelle incarcération et la coïncidence temporelle avec des attentats survenus en France la veille de l’incident ne permettant pas de justifier la durée de la sanction. Celle-ci aurait dû être de deux jours.</w:t>
      </w:r>
    </w:p>
    <w:p>
      <w:r>
        <w:t>- 7/8 - A/3181/2015</w:t>
      </w:r>
    </w:p>
    <w:p>
      <w:r>
        <w:t>c. En l’espèce, le comportement adopté par le recourant justifie une sanction. Il ressort du dossier que depuis son arrivée à la prison, son comportement n’a pas été irréprochable, tant envers les gardiens que ses codétenus. Outre des recadrages, il a été privé durant quatre jours de l’usage de haut-parleurs de radio ainsi que de quatre jours de suspension de travail. Ses antécédents disciplinaires sont ainsi défavorables.</w:t>
      </w:r>
    </w:p>
    <w:p>
      <w:r>
        <w:t>Toutefois, au vu des précédents susmentionnés, la sanction comprenant cinq jours de cellule forte et la suppression du travail – même avec la possibilité de se réinscrire mentionnée uniquement dans les observations du directeur devant la chambre de céans et dont il lui sera donné acte – apparaît disproportionnée en regard des faits reprochés et en l’absence d’incident antérieur ayant entraîné un placement en cellule forte.</w:t>
      </w:r>
    </w:p>
    <w:p>
      <w:r>
        <w:t>Dans ces conditions, trois jours de placement en cellule forte cumulé avec la suppression du travail avec possibilité de se réinscrire, aurait été adéquate. Le placement en cellule forte ayant été exécuté, il n’est matériellement plus possible de l’annuler. La chambre de céans se limitera à constater son caractère illicite (ATA/238/2016 déjà cité et les références mentionnées).</w:t>
      </w:r>
    </w:p>
    <w:p>
      <w:r>
        <w:rPr>
          <w:b/>
        </w:rPr>
        <w:t>E. 7</w:t>
      </w:r>
    </w:p>
    <w:p>
      <w:r>
        <w:t>Au vu de ce qui précède, le recours sera partiellement admis.</w:t>
      </w:r>
    </w:p>
    <w:p>
      <w:r>
        <w:rPr>
          <w:b/>
        </w:rPr>
        <w:t>E. 8</w:t>
      </w:r>
    </w:p>
    <w:p>
      <w:r>
        <w:t>Vu la nature du litige, aucun émolument ne sera perçu (art. 87 al. 1 LPA ; art. 12 al. 1 du règlement sur les frais, émoluments et indemnités en procédure administrative du 30 juillet 1986 - RFPA - E 5 10.03). Aucune indemnité de procédure ne sera allouée, le recourant ayant agi en personne.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