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ATA/308/2016 vom 12. April 2016</w:t>
      </w:r>
    </w:p>
    <w:p>
      <w:r>
        <w:t>GE Cour de justice, 2016-04-12, FR</w:t>
      </w:r>
    </w:p>
    <w:p>
      <w:r>
        <w:rPr>
          <w:b/>
        </w:rPr>
        <w:t xml:space="preserve">Quelle: </w:t>
      </w:r>
      <w:r>
        <w:t>https://mcp.opencaselaw.ch/entscheid/ge_gerichte_ATA_308_2016</w:t>
      </w:r>
    </w:p>
    <w:p>
      <w:r>
        <w:t>FR: GE_GERICHTE ATA/308/2016 du 12 avril 2016</w:t>
      </w:r>
    </w:p>
    <w:p>
      <w:r>
        <w:t>IT: GE_GERICHTE ATA/308/2016 del 12 aprile 2016</w:t>
      </w:r>
    </w:p>
    <w:p>
      <w:pPr>
        <w:pStyle w:val="Heading2"/>
      </w:pPr>
      <w:r>
        <w:t>Erwägungen</w:t>
      </w:r>
    </w:p>
    <w:p>
      <w:r>
        <w:rPr>
          <w:b/>
        </w:rPr>
        <w:t>E. 1</w:t>
      </w:r>
    </w:p>
    <w:p>
      <w:r>
        <w:t>Interjeté en temps utile devant la juridiction compétente, le recours est recevable de ces points de vue (art. 60 du règlement sur le régime intérieur de la prison et le statut des personnes incarcérées du 30 septembre 1985 - RRIP – F 1 50.04 ;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w:t>
      </w:r>
    </w:p>
    <w:p>
      <w:r>
        <w:t>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w:t>
      </w:r>
    </w:p>
    <w:p>
      <w:r>
        <w:t>- 4/5 - A/2890/2015 pour effet de créer une voie de recours non prévue par le droit cantonal (ATF 135 I 79 consid. 1 p. 82 ; 131 II 361 consid. 1.2 p. 365 ; 128 II 34 consid. 1b p. 36 ; arrêts du Tribunal fédéral 1C_133/2009 du 4 juin 2009 consid. 3 ; 1C_76/2009 du 30 avril 2009 consid. 2 ; 6B_34/2009 précité consid. 1.3).</w:t>
      </w:r>
    </w:p>
    <w:p>
      <w:r>
        <w:t>c. Concernant le placement d'un prisonnier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(ATA/510/2014 du 1er juillet 2014 ; ATA/183/2013 du 19 mars 2013 ; ATA/775/2012 du 13 novembre 2012 ; ATA/134/2009 du 17 mars 2009).</w:t>
      </w:r>
    </w:p>
    <w:p>
      <w:r>
        <w:rPr>
          <w:b/>
        </w:rPr>
        <w:t>E. 3</w:t>
      </w:r>
    </w:p>
    <w:p>
      <w:r>
        <w:t>En l'espèce, le 18 août 2015, le recourant, alors détenu à la prison, a fait l'objet d'une sanction sous forme d'un placement en cellule forte pour une durée de deux jours et d'une privation de travail. Cette punition a été immédiatement exécutée.</w:t>
      </w:r>
    </w:p>
    <w:p>
      <w:r>
        <w:t>Il ressort de la procédure que le recourant a été mis en liberté le 4 octobre 2015, après exécution complète de sa sanction. Aucun élément du dossier ne laisse à penser qu'il est susceptible d'être incarcéré à nouveau, et par conséquent d'être encore une fois sanctionné par un placement en cellule forte ou une privation de travail.</w:t>
      </w:r>
    </w:p>
    <w:p>
      <w:r>
        <w:t>Il n'y a dès lors aucune raison de passer outre l'exigence de l'intérêt actuel (ATA/1281/2015 du 1er décembre 2015 ; ATA/510/2014 précité ; ATA/441/2013 du 30 juillet 2013 ; ATA/541/2010 du 4 août 2010, confirmé par arrêt du Tribunal fédéral 1B_295/2010 du 14 septembre 2010).</w:t>
      </w:r>
    </w:p>
    <w:p>
      <w:r>
        <w:rPr>
          <w:b/>
        </w:rPr>
        <w:t>E. 4</w:t>
      </w:r>
    </w:p>
    <w:p>
      <w:r>
        <w:t>Vu ce qui précède, le recours sera déclaré irrecevable.</w:t>
      </w:r>
    </w:p>
    <w:p>
      <w:r>
        <w:t>Vu la nature du litige et son issue, aucun émolument ne sera perçu (art. 87 al. 1 LPA ; art. 12 al. 1 du règlement sur les frais, émoluments et indemnités en procédure administrative du 30 juillet 1986 - RFPA - E 5 10.03), et aucune indemnité de procédure ne sera allouée (art. 87 al. 2 LPA).</w:t>
      </w:r>
    </w:p>
    <w:p>
      <w:r>
        <w:t>* * * * *</w:t>
      </w:r>
    </w:p>
    <w:p>
      <w:r>
        <w:t>- 5/5 - A/2890/2015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