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ATA/306/2016 vom 12. April 2016</w:t>
      </w:r>
    </w:p>
    <w:p>
      <w:r>
        <w:t>GE Cour de justice, 2016-04-12, FR</w:t>
      </w:r>
    </w:p>
    <w:p>
      <w:r>
        <w:rPr>
          <w:b/>
        </w:rPr>
        <w:t xml:space="preserve">Quelle: </w:t>
      </w:r>
      <w:r>
        <w:t>https://mcp.opencaselaw.ch/entscheid/ge_gerichte_ATA_306_2016</w:t>
      </w:r>
    </w:p>
    <w:p>
      <w:r>
        <w:t>FR: GE_GERICHTE ATA/306/2016 du 12 avril 2016</w:t>
      </w:r>
    </w:p>
    <w:p>
      <w:r>
        <w:t>IT: GE_GERICHTE ATA/306/2016 del 12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ATA/759/2012 du 6 novembre 2012 ; ATA/188/2011 du 22 mars 2011).</w:t>
      </w:r>
    </w:p>
    <w:p>
      <w:r>
        <w:t>c. Un intérêt digne de protection suppose un intérêt actuel à obtenir l’annulation de la décision attaquée (ATF 135 I 79 consid. 1 ; 128 II 34 consid. 1b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ou déclaré irrecevable (ATF 123 II 285 consid. 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w:t>
      </w:r>
    </w:p>
    <w:p>
      <w:r>
        <w:t>e. En l’espèce, le recourant dispose d'un intérêt digne de protection à recourir contre la mesure prononcée contre lui. La légalité de la mesure doit pouvoir faire l’objet d’un contrôle en vertu de la jurisprudence du Tribunal fédéral précitée, nonobstant l’absence d’intérêt actuel, puisqu’elle a déjà été exécutée, dans la mesure où cette situation pourrait encore se présenter (ATA/183/2013 du 19 mars 2013 et la jurisprudence citée).</w:t>
      </w:r>
    </w:p>
    <w:p>
      <w:r>
        <w:t>Le recours est donc recevable de ce point de vue également.</w:t>
      </w:r>
    </w:p>
    <w:p>
      <w:r>
        <w:rPr>
          <w:b/>
        </w:rPr>
        <w:t>E. 3</w:t>
      </w:r>
    </w:p>
    <w:p>
      <w:r>
        <w:t>Le recourant sollicite son audition et la production de l’intégralité de son dossier ayant trait à la décision querellée.</w:t>
      </w:r>
    </w:p>
    <w:p>
      <w:r>
        <w:t>- 4/7 - A/429/2015</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w:t>
      </w:r>
    </w:p>
    <w:p>
      <w:r>
        <w:t>b. En l’espèce, le recourant souhaite être entendu de manière contradictoire au sujet des décisions de sanctions produites par le directeur et auxquelles ce dernier se réfère dans la décision querellée. Or ces décisions sont en force. Le recourant ne peut prétendre les remettre en cause, à ce stade, étant précisé qu’il n’a pas recouru contre elles.</w:t>
      </w:r>
    </w:p>
    <w:p>
      <w:r>
        <w:t>Par ailleurs, les documents produits par le directeur suffisent à étayer son argumentation. Le recourant n’en ayant d’ailleurs pas demandé d’autres après en avoir pris connaissance.</w:t>
      </w:r>
    </w:p>
    <w:p>
      <w:r>
        <w:t>La chambre de céans dispose ainsi d’un dossier lui permettant de statuer sur la base des faits pertinents, les requêtes du recourant seront donc écartées.</w:t>
      </w:r>
    </w:p>
    <w:p>
      <w:r>
        <w:rPr>
          <w:b/>
        </w:rPr>
        <w:t>E. 4</w:t>
      </w:r>
    </w:p>
    <w:p>
      <w:r>
        <w:t>a. L'objet de la présente procédure est le placement de M. A______ en régime de sécurité renforcée pour une durée de trois mois, à savoir du 14 janvier au 13 avril 2015. Il ne saurait en revanche être question de se prononcer sur le transfèrement du recourant dans un établissement d'exécution de peines, décision qui ressortit à la compétence des autorités pénitentiaires vaudoises.</w:t>
      </w:r>
    </w:p>
    <w:p>
      <w:r>
        <w:t>b. La détention en commun peut être interdite si elle présente des inconvénients ou des risques, notamment pour ce qui concerne la sauvegarde de la sécurité collective (art. 50 al. 1 du règlement sur le régime intérieur de la prison et le statut des personnes incarcérées du 30 septembre 1985 - RRIP - F 1 50.04). La mesure de mise en régime de sécurité renforcée permet de réduire les risques de troubles au sein de la prison.</w:t>
      </w:r>
    </w:p>
    <w:p>
      <w:r>
        <w:t>- 5/7 - A/429/2015</w:t>
      </w:r>
    </w:p>
    <w:p>
      <w:r>
        <w:t>Cette mesure figure dans le titre « règles particulières » applicables aux prévenus ou aux condamnés. Elle constitue une exception au régime normal (art. 49 RRIP) et ne figure pas dans la liste exhaustive des sanctions énoncées à l'art. 47 al. 3 RRIP.</w:t>
      </w:r>
    </w:p>
    <w:p>
      <w:r>
        <w:t>c. Il résulte clairement de ces dispositions que le placement en régime de sécurité renforcée ne constitue pas une sanction (Lukas HUBER, Disziplinarmassnahmen im Strafvollzug, Basler Studien zur Rechtswissenschaft, Band 46, 1995, p. 22 et 23). Il s'agit d'une décision au sens de l'art. 4 LPA, susceptible de recours auprès de la chambre administrative (ATA/188/2011 précité ; ATA/533/2008 au 28 octobre 2008).</w:t>
      </w:r>
    </w:p>
    <w:p>
      <w:r>
        <w:t>d. Par conséquent, le placement du recourant en régime de sécurité renforcée ne revêt pas le caractère d'une sanction, mais constitue bien une mesure visant à sauvegarder la sécurité collective et à réduire les risques de troubles au sein de l'établissement.</w:t>
      </w:r>
    </w:p>
    <w:p>
      <w:r>
        <w:rPr>
          <w:b/>
        </w:rPr>
        <w:t>E. 5</w:t>
      </w:r>
    </w:p>
    <w:p>
      <w:r>
        <w:t>a. Un prévenu est placé en régime de sécurité renforcée si la détention en commun présente des inconvénients ou des risques, notamment pour ce qui concerne la sauvegarde de la sécurité collective, pour une durée maximale de six mois, renouvelable (art. 50 RRIP).</w:t>
      </w:r>
    </w:p>
    <w:p>
      <w:r>
        <w:t>b.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 ATF 136 I 87 p. 92 ; ATF 136 I 17 p. 26 ; ATF 135 I 176 p. 186 ; ATF 133 I 110 p. 123 ; ATF 130 I 65 p. 69 ; Thierry TANQUEREL, Manuel de droit administratif, 2011, p. 187).</w:t>
      </w:r>
    </w:p>
    <w:p>
      <w:r>
        <w:t>c. En l’espèce, dès son arrivée à la prison, le recourant a adopté des comportements tant envers le personnel de l’établissement que ses codétenus qui lui ont valu d’être à réitérées reprises sanctionné par des placements en cellule forte. Il n’a jamais contesté ces sanctions par-devant la chambre de céans. Il y a ainsi lieu d’admettre que son comportement a mis en péril la sécurité de la prison et troublé l’ordre et la tranquillité de l’établissement. Dès lors, face à son intérêt privé incontestable à entretenir des relations sociales plus denses dans le cadre du régime ordinaire de la détention, l’intérêt public à la sécurité, à l’ordre et à la tranquillité de la prison ne peut que primer. La décision litigieuse était ainsi justifiée.</w:t>
      </w:r>
    </w:p>
    <w:p>
      <w:r>
        <w:t>Au vu du nombre et de la régularité des actes de transgression du RRIP commis par la recourant, la durée de la mesure – dont le maximum est de six mois</w:t>
      </w:r>
    </w:p>
    <w:p>
      <w:r>
        <w:t>- 6/7 - A/429/2015 – est adéquate. Aucune autre mesure ne pourrait être envisagée, dès lors que les sanctions dont il avait fait l’objet ne l’avaient pas incité à changer son comportement.</w:t>
      </w:r>
    </w:p>
    <w:p>
      <w:r>
        <w:t>La décision querellée est ainsi conforme au droit.</w:t>
      </w:r>
    </w:p>
    <w:p>
      <w:r>
        <w:rPr>
          <w:b/>
        </w:rPr>
        <w:t>E. 6</w:t>
      </w:r>
    </w:p>
    <w:p>
      <w:r>
        <w:t>Au vu de ce qui précède, le recours sera rejeté.</w:t>
      </w:r>
    </w:p>
    <w:p>
      <w:r>
        <w:t>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