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ATA/305/2013 vom 14. Mai 2013</w:t>
      </w:r>
    </w:p>
    <w:p>
      <w:r>
        <w:t>GE Cour de justice, 2013-05-14, FR</w:t>
      </w:r>
    </w:p>
    <w:p>
      <w:r>
        <w:rPr>
          <w:b/>
        </w:rPr>
        <w:t xml:space="preserve">Quelle: </w:t>
      </w:r>
      <w:r>
        <w:t>https://mcp.opencaselaw.ch/entscheid/ge_gerichte_ATA_305_2013</w:t>
      </w:r>
    </w:p>
    <w:p>
      <w:r>
        <w:t>FR: GE_GERICHTE ATA/305/2013 du 14 mai 2013</w:t>
      </w:r>
    </w:p>
    <w:p>
      <w:r>
        <w:t>IT: GE_GERICHTE ATA/305/2013 del 14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a sollicité la suspension de la procédure en raison de l'examen en cours de la demande de naturalisation de son conjoint.</w:t>
      </w:r>
    </w:p>
    <w:p>
      <w:r>
        <w:t>- 6/12 - A/4091/2010</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échant, être prononcée jusqu'à droit connu sur ces questions.</w:t>
      </w:r>
    </w:p>
    <w:p>
      <w:r>
        <w:t>Dans le cas particulier, le recourante n'a fourni aucun élément pertinent permettant de retenir que la procédure de naturalisation de son conjoint avancerait de manière concrète dans le sens d'une décision favorable proche. Invitée le 15 janvier 2013 à fournir des justificatifs à ce sujet, elle a produit le 2 avril 2013, soit près de deux mois après l'échéance qui lui avait été fixée pour ce faire, une simple demande d'appel téléphonique de l'enquêteur de l'OCP remontant au 10 décembre 2012. Elle n'a pas donné d'indication sur la suite donnée à cette démarche, ni sur l'évolution de la procédure de naturalisation depuis lors. L'OCP n'a, de son côté, pas fait état d'éléments de cette dernière procédure susceptibles de justifier la suspension de l'examen de la présente cause. Dès lors, il n'y pas lieu de suspendre cette dernière.</w:t>
      </w:r>
    </w:p>
    <w:p>
      <w:r>
        <w:rPr>
          <w:b/>
        </w:rPr>
        <w:t>E. 3</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ATA/276/2012 du 8 mai 2012 consid. 2 et les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 G. MALINVERNI / M. HOTTELIER, Droit constitutionnel suisse, Berne 2006, vol. 2, 2ème éd., p. 603 n. 1315 ss). Quant à l'art. 6 § CEDH, il n'accorde pas au justiciable de garanties plus étendues que celles découlant de l'art. 29 al. 2 Cst. (Arrêt du Tribunal fédéral 6B_24/2010 du 20 mai 2010 consid. 1).</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précité consid. 2 et les arrêts cités).</w:t>
      </w:r>
    </w:p>
    <w:p>
      <w:r>
        <w:t>Cela n’implique pas une audition personnelle de l’intéressé, celui-ci devant simplement disposer d’une occasion de se déterminer sur les éléments propres à</w:t>
      </w:r>
    </w:p>
    <w:p>
      <w:r>
        <w:t>- 7/12 - A/4091/2010 influer sur l’issue de la cause (art. 41 LPA ; ATF 134 I 140 consid. 5.3 p. 148 ; ATA/40/2013 du 22 janvier 2013 ; ATA/302/2012 du 15 mai 2012).</w:t>
      </w:r>
    </w:p>
    <w:p>
      <w:r>
        <w:t>En l'espèce, la chambre administrative renoncera à procéder à l’audition personnelle de la recourante, quand bien même celle-ci y a conclu, dès lors qu'elle a eu l'occasion de faire valoir ses arguments tout au long de la procédure, y compris oralement devant le TAPI. L'audition sollicitée de son conjoint n'est pas davantage nécessaire pour pouvoir statuer, les éléments pertinents de la situation juridique de ce dernier ressortant du dossier.</w:t>
      </w:r>
    </w:p>
    <w:p>
      <w:r>
        <w:rPr>
          <w:b/>
        </w:rPr>
        <w:t>E. 4</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5</w:t>
      </w:r>
    </w:p>
    <w:p>
      <w:r>
        <w:t>L’art. 27 de la loi fédérale sur les étrangers du 16 décembre 2005 (LEtr - RS 142.20), dans sa teneur au 31 décembre 2010,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rPr>
          <w:b/>
        </w:rPr>
        <w:t>E. 6</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w:t>
      </w:r>
    </w:p>
    <w:p>
      <w:r>
        <w:t>- 8/12 - A/4091/2010</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(ATA/694/2011 du</w:t>
      </w:r>
    </w:p>
    <w:p>
      <w:r>
        <w:rPr>
          <w:b/>
        </w:rPr>
        <w:t>E. 8</w:t>
      </w:r>
    </w:p>
    <w:p>
      <w:r>
        <w:t>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 ATA/612/2011 et ATA/546/2011 précités).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C- 5925/2009 du 9 février 2010).</w:t>
      </w:r>
    </w:p>
    <w:p>
      <w:r>
        <w:rPr>
          <w:b/>
        </w:rPr>
        <w:t>E. 9</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w:t>
      </w:r>
    </w:p>
    <w:p>
      <w:r>
        <w:t>- 9/12 - A/4091/2010</w:t>
      </w:r>
    </w:p>
    <w:p>
      <w:r>
        <w:rPr>
          <w:b/>
        </w:rPr>
        <w:t>E. 10</w:t>
      </w:r>
    </w:p>
    <w:p>
      <w:r>
        <w:t>En l'espèce, la recourante a produit une attestation de l'European University du 13 juillet 2010 selon laquelle elle avait suivi le programme de bachelor of business administration du 12 juin 2006 au 1er juin 2008, avait réussi les examens y relatifs et rédigeait son travail de diplôme, qui devait être présenté au comité de l'établissement au mois de septembre 2010. Il ressort par ailleurs du dossier que bien qu'inscrite aux cours du programme de master of business administration, elle n'en avait suivi aucun des cours. Elle a déclaré devant le TAPI n'avoir pas continué ses études en raison d'exigences exorbitantes – sans préciser lesquelles – de l'établissement précité et vouloir s'inscrire à l'université pour y suivre une formation dans le domaine des arts.</w:t>
      </w:r>
    </w:p>
    <w:p>
      <w:r>
        <w:t>Ainsi, sept ans après avoir obtenu une autorisation de séjour pour études en vue de suivre une formation de trois ans pour passer un bachelor of business administration, la recourante n'a pas achevé son programme initial, n'est plus inscrite dans aucun établissement permettant de mener à chef ladite formation et a renoncé à obtenir le diplôme initialement visé, souhaitant désormais suivre une formation dans le domaine artistique. Dès lors, elle ne remplit plus la première condition posée par l'art. 27 let. a LEtr.</w:t>
      </w:r>
    </w:p>
    <w:p>
      <w:r>
        <w:t>En outre, n’ayant pas obtenu son bachelor en business of administration, elle n'a en tout état pas le niveau de formation permettant de poursuivre dans la voie du master et elle n'a pas démontré disposer de la formation et des qualifications professionnelles nécessaires pour suivre une formation artistique. Elle ne remplit ainsi pas la condition de l'art. 27 let. d LEtr.</w:t>
      </w:r>
    </w:p>
    <w:p>
      <w:r>
        <w:t>Au vu de ce qui précède, le refus de l'OCP de renouveler l'autorisation de séjour pour études de l'intéressée échappe à toute critique.</w:t>
      </w:r>
    </w:p>
    <w:p>
      <w:r>
        <w:rPr>
          <w:b/>
        </w:rPr>
        <w:t>E. 11</w:t>
      </w:r>
    </w:p>
    <w:p>
      <w:r>
        <w:t>Aux termes de l'art. 8 CEDH, dont la teneur est à cet égard identique à l'art. 13 de la Constitution fédérale de la Confédération suisse du 18 avril 1999 (Cst. - RS 101), toute personne a droit au respect de sa vie familiale.</w:t>
      </w:r>
    </w:p>
    <w:p>
      <w:r>
        <w:t>Le fait de refuser un droit de séjour à un étranger dont la famille se trouve en Suisse peut certes porter atteinte au droit au respect de la vie familiale garanti par cette disposition. Toutefois, l'art. 8 CEDH ne confère pas un droit à séjourner dans un Etat déterminé et n’emporte pas une obligation générale pour un Etat de respecter le choix par des immigrants de leur pays de résidence et d’autoriser le regroupement familial sur le territoire de ce pays (ACEDH Ahmut précité, Rec. 1996-VI, req. n. 21’702/93, § 67) ; il ne consacre pas le droit de choisir l'endroit le plus approprié à la poursuite de la vie familiale (DCEDH Adnane c. Pays-Bas, du 6 novembre 2011, req. n. 50’568/99 ; Mensah c. Pays-Bas, du 9 octobre 2001, req. n. 47’042/99). Dans une affaire qui concerne la vie familiale aussi bien que l’immigration, l’étendue des obligations pour l’Etat d’admettre sur son territoire des proches de personnes qui y résident varie en fonction de la situation particulière des personnes concernées et de l’intérêt général (ACEDH Osman c.</w:t>
      </w:r>
    </w:p>
    <w:p>
      <w:r>
        <w:t>- 10/12 - A/4091/2010 Danemark, du 14 juin 2011, req. n. 38’058/09, § 54 ; Abdulaziz, Cabales et Balkandali c. Royaume-Uni, du 28 mai 1985, série A n. 94, § 67 et 68). Dans ce contexte, selon la jurisprudence du Tribunal fédéral, un étranger ne peut se prévaloir de l'art. 8 CEDH dans le cadre du regroupement familial que si son conjoint dispose d'un droit de présence assuré en Suisse (ATF 135 I 143 consid. 1.3.1 ; 130 II 281 consid. 3.1).</w:t>
      </w:r>
    </w:p>
    <w:p>
      <w:r>
        <w:t>Tel n'est pas le cas de la recourante dont l'époux ne dispose pas, en l'état, d'un titre de séjour valable en Suisse. Ni le recours de M. L______ pendant devant le TAF contre le refus de l'ODM de lui délivrer une autorisation de séjour pour cas de rigueur, ni la demande de naturalisation déposée par ce dernier auprès des autorités genevoises, ne peuvent en tenir lieu.</w:t>
      </w:r>
    </w:p>
    <w:p>
      <w:r>
        <w:rPr>
          <w:b/>
        </w:rPr>
        <w:t>E. 12</w:t>
      </w:r>
    </w:p>
    <w:p>
      <w:r>
        <w:t>Au vu de ce qui précède, le recours sera rejeté.</w:t>
      </w:r>
    </w:p>
    <w:p>
      <w:r>
        <w:t>Un émolument de CHF 400.-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