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ATA/303/2013 vom 14. Mai 2013</w:t>
      </w:r>
    </w:p>
    <w:p>
      <w:r>
        <w:t>GE Cour de justice, 2013-05-14, FR</w:t>
      </w:r>
    </w:p>
    <w:p>
      <w:r>
        <w:rPr>
          <w:b/>
        </w:rPr>
        <w:t xml:space="preserve">Quelle: </w:t>
      </w:r>
      <w:r>
        <w:t>https://mcp.opencaselaw.ch/entscheid/ge_gerichte_ATA_303_2013</w:t>
      </w:r>
    </w:p>
    <w:p>
      <w:r>
        <w:t>FR: GE_GERICHTE ATA/303/2013 du 14 mai 2013</w:t>
      </w:r>
    </w:p>
    <w:p>
      <w:r>
        <w:t>IT: GE_GERICHTE ATA/303/2013 del 14 maggio 2013</w:t>
      </w:r>
    </w:p>
    <w:p>
      <w:pPr>
        <w:pStyle w:val="Heading2"/>
      </w:pPr>
      <w:r>
        <w:t>Erwägungen</w:t>
      </w:r>
    </w:p>
    <w:p>
      <w:r>
        <w:rPr>
          <w:b/>
        </w:rPr>
        <w:t>E. 30</w:t>
      </w:r>
    </w:p>
    <w:p>
      <w:r>
        <w:t>% a été opérée sur la valeur de rendement de la société pour tenir compte des risques éventuels encourus par l'entreprise. Rien ne permet ainsi de s'écarter du mode de calcul retenu par l'AFC-GE. 6)</w:t>
      </w:r>
    </w:p>
    <w:p>
      <w:r>
        <w:t>Les recourants contestent par ailleurs la perception d'intérêts financiers.</w:t>
      </w:r>
    </w:p>
    <w:p>
      <w:r>
        <w:t>Le 1er janvier 2009 est entrée en vigueur la loi relative à la perception et aux garanties des impôts des personnes physiques et des personnes morales (LPGIP - D 3 18), qui règle notamment les modalités de perception des impôts et a abrogé les dispositions de la loi générale sur les contributions publiques du 9 novembre l887 (LCP - D 3 05) sur ce point.</w:t>
      </w:r>
    </w:p>
    <w:p>
      <w:r>
        <w:t>Le litige étant antérieur à l’entrée en vigueur de la LPGIP, il sera tranché à la lumière des dispositions pertinentes de l’aLCP et ses dispositions d’application, en particulier le règlement transitoire relatif à la perception des acomptes provisionnels, du 28 novembre 2001 (RTAP - D 3 05.05). 7)</w:t>
      </w:r>
    </w:p>
    <w:p>
      <w:r>
        <w:t>Selon l’art. 360 al. 1 aLCP, l’impôt est échu dès la notification de la décision de taxation. Le terme d’échéance est maintenu même si le contribuable a déposé une réclamation ou un recours contre la taxation (art. 360 al. 2 aLCP). Les impôts doivent être acquittés dans les trente jours suivant l’échéance (art. 363 aLCP).</w:t>
      </w:r>
    </w:p>
    <w:p>
      <w:r>
        <w:t>Il peut être perçu en cours d’année des acomptes provisionnels, calculés sur la base des impôts de l’année précédente, ainsi que des majorations ne dépassant pas 3 % en cas de retard dans le versement de ces acomptes, le Conseil d’Etat en fixant les modalités par voie règlementaire (art. 361 al. 3 aLCP). Le montant résultant de la différence entre le total des acomptes provisionnels versés et l’impôt échu, supérieur au total des acomptes provisionnels, porte intérêt au taux légal dès le premier jour qui suit la période fiscale (art. 361 al. 4 aLCP). Pour les personnes physiques, l’art. 5 al. 1 RTAP précise que l’intérêt financier court dès le</w:t>
      </w:r>
    </w:p>
    <w:p>
      <w:r>
        <w:t>- 8/10 - A/2792/2008 1er avril suivant la période fiscale. Enfin, selon l’art. 364 al. 1 aLCP, les montants des impôts, taxes, majorations, frais et amendes portent intérêt au taux légal après l’expiration d’un délai de trente jours à compter de la notification de la décision.</w:t>
      </w:r>
    </w:p>
    <w:p>
      <w:r>
        <w:t>De la même manière, le contribuable qui a payé pour ses impôts, taxes, majorations, frais et amendes des montants supérieurs à ceux qu’il doit finalement en vertu de taxations et décisions entrées en force a droit au remboursement du trop-perçu (art. 367A al. 1 aLCP). Les montants perçus en trop et remboursables portent intérêt au taux légal à partir de la date de la perception, mais au plus tôt à partir de l’échéance de la notification de la décision de taxation (art. 367A al. 2 aLCP). Le montant résultant de la différence entre le total des acomptes provisionnels versés et l’impôt définitif, inférieur au total des acomptes provisionnels, porte intérêt dès le premier jour qui suit la période fiscale (art. 367A al. 3 aLCP), sans que le RTAP ne fixe de date particulière dans ce cas.</w:t>
      </w:r>
    </w:p>
    <w:p>
      <w:r>
        <w:t>La lecture des dispositions susvisées laisse apparaître une contradiction entre, d’une part, les art. 360 al. 1, 363, 364 al. 1 et 367A al. 2 aLCP, qui retiennent la notification de la décision de taxation comme date d’échéance de l’impôt et dies a quo pour le calcul des intérêts, et, d'autre part, les art. 361 al. 4 et 367A al. 3 aLCP, qui prévoient, en cas de perception d’acomptes provisionnels, que les intérêts sont perçus dès le premier jour suivant la période fiscale.</w:t>
      </w:r>
    </w:p>
    <w:p>
      <w:r>
        <w:t>Cette contradiction disparaît toutefois à la lecture des travaux préparatoires de révision de l’aLCP en 1994. C’est à ce moment que la Conseil d’Etat a proposé l’introduction des art. 361 al. 4 et 367A al. 3, avec la motivation suivante : « L’alinéa 4 est une conséquence du passage du système d’'imposition praenumerando au système postnumerando. Il est rappelé en effet qu'avec le nouveau système, l’impôt 1995 ne pourra être calculé qu'en 1996. Il est donc juste, pour le cas où les acomptes provisionnels s'avèrent inférieurs au montant de l'impôt définitif, que le contribuable doive s'acquitter d'un intérêt "financier" dès le 1er jour qui suit la période fiscale (fin de l'exercice social pour les personnes morales, fin de l'année civile pour les personnes physiques), ce d'autant plus que ce système permet d'assurer une égalité de traitement entre le contribuable qui se verrait notifier son bordereau dans les trois mois qui suivent la période fiscale et celui qui ne le recevrait que huit mois plus tard. (…) Cette disposition entraînera donc pour conséquence que chaque contribuable se verra notifier un bordereau comportant un intérêt sans que la question d'un éventuel retard dans le paiement de l'impôt soit déterminante. Les éventuels intérêts "moratoires", c'est-à-dire ceux dus après l'écoulement du délai de paiement (cf art. 363 nouvelle teneur) sont réglés à l'art. 364 (nouvelle teneur). En revanche, tout montant payé en trop par le contribuable bénéficiera d'intérêts rémunératoires tels que prévus à l'art. 367A nouvelle teneur » (Mémorial du Grand Conseil 1994 II 1478). Et, à propos de l’intitulé de l’art. 364 aLCP : « Concrètement, le titre marginal de cet article s’intitule désormais "Intérêts moratoires", ce qui différencie les intérêts qui seront</w:t>
      </w:r>
    </w:p>
    <w:p>
      <w:r>
        <w:t>- 9/10 - A/2792/2008 réclamés au contribuables (sic), sur cette base des intérêts "financiers", qui seront perçus, pour des raisons techniques sur la base de l'art. 361, al. 4 (nouvelle teneur) » (Mémorial du Grand Conseil 1994 II 1’479). Le Grand Conseil a adopté sans changement les propositions du Conseil d'Etat (Mémorial du Grand Conseil 1994 IV 3’909).</w:t>
      </w:r>
    </w:p>
    <w:p>
      <w:r>
        <w:t>Ainsi, l’art. 361 al. 4 aLCP vise donc une autre hypothèse que celle réglée par les art. 360 et 363 aLCP. Son application n’est liée ni à l’échéance, ni à l'exigibilité du bordereau (ATA/305/2011 du 17 mai 2011). 8)</w:t>
      </w:r>
    </w:p>
    <w:p>
      <w:r>
        <w:t>Il reste à examiner si ce dispositif, qui n’existe pas pour l’impôt fédéral direct, est admissible en regard des règles de la loi fédérale sur l’harmonisation des impôts directs des cantons et des communes, du 14 décembre 1990 (LHID - RS 642.14).</w:t>
      </w:r>
    </w:p>
    <w:p>
      <w:r>
        <w:t>Cette loi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(art. 1 al. 3 LHID). Les modalités de perception des impôts directs prélevés par les cantons demeurent de la compétence de ces derniers. L’art. 361 al. 4 aLCP n’est donc pas contraire à la LHID, contrairement à ce qu'affirment les recourants (ATA/305/2011 déjà cité). 9)</w:t>
      </w:r>
    </w:p>
    <w:p>
      <w:r>
        <w:t>Au vu de ce qui précède, le recours sera rejeté.</w:t>
      </w:r>
    </w:p>
    <w:p>
      <w:r>
        <w:t>Vu l'issue du litige, un émolument de CHF 1'500.- sera mis à la charge des recourants, pris conjointement et solidairement et aucune indemnité de procédure ne leur sera versée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