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ATA/302/2012 vom 15. Mai 2012</w:t>
      </w:r>
    </w:p>
    <w:p>
      <w:r>
        <w:t>GE Cour de justice, 2012-05-15, FR</w:t>
      </w:r>
    </w:p>
    <w:p>
      <w:r>
        <w:rPr>
          <w:b/>
        </w:rPr>
        <w:t xml:space="preserve">Quelle: </w:t>
      </w:r>
      <w:r>
        <w:t>https://mcp.opencaselaw.ch/entscheid/ge_gerichte_ATA_302_2012</w:t>
      </w:r>
    </w:p>
    <w:p>
      <w:r>
        <w:t>FR: GE_GERICHTE ATA/302/2012 du 15 mai 2012</w:t>
      </w:r>
    </w:p>
    <w:p>
      <w:r>
        <w:t>IT: GE_GERICHTE ATA/302/2012 del 15 maggio 2012</w:t>
      </w:r>
    </w:p>
    <w:p>
      <w:pPr>
        <w:pStyle w:val="Heading2"/>
      </w:pPr>
      <w:r>
        <w:t>Regeste</w:t>
      </w:r>
    </w:p>
    <w:p>
      <w:r>
        <w:t>Résumé: Distinction entre prêt et donation. Contrairement à ce que soutient le recourant, les versements qu'il a effectués doivent être qualifiées de donations et non de prêts, dès lors que ceux-ci contiennent toutes les caractéristiques d'une telle prestation. Par conséquent, c'est à juste titre que l'AFC a estimé que des droits d'enregistrements devaient être perçus sur ces versements.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recourant se plaint de la violation de son droit d'être entendu.</w:t>
      </w:r>
    </w:p>
    <w:p>
      <w:r>
        <w:t>Tel qu’il est garanti par l’art. 29 al. 2 de la (constitution fédérale de la confédération suisse du 18 avril 1999 - RS - Cst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En revanche, il n'implique pas le droit à une audition personnelle de l'intéressé, sauf disposition légale contraire (RDAF 2005 I 55; ATF 125 V 494 consid. 1b; ATF 125 I 209, consid. 9b). A lui seul, l'art. 29 al. 2</w:t>
      </w:r>
    </w:p>
    <w:p>
      <w:r>
        <w:t>- 7/10 - A/624/2008 Cst. ne confère pas un droit d'être entendu oralement par l'autorité (ATF 134 I 140 consid. 5.3 p. 148).</w:t>
      </w:r>
    </w:p>
    <w:p>
      <w:r>
        <w:t>En l’espèce, ni la loi de procédure fiscale du 4 octobre 2001 (LPFisc - D 3 17), ni la LPA ne garantissent au contribuable un droit d'être entendu oralement. Le recourant a eu l’occasion de fournir à l'AFC toutes les pièces justificatives et il a exprimé son opinion par écrit lors des demandes de renseignements, notamment par courriers des 1er et 31 octobre 2007. Dans son mémoire de recours devant la commission, l'intéressé a pu présenter sa position, produire des pièces et former des offres de preuve. Par conséquent, le grief de violation du droit d'être entendu sera écarté.</w:t>
      </w:r>
    </w:p>
    <w:p>
      <w:r>
        <w:rPr>
          <w:b/>
        </w:rPr>
        <w:t>E. 4</w:t>
      </w:r>
    </w:p>
    <w:p>
      <w:r>
        <w:t>Le recourant prétend que les sommes litigeuses constituaient des prêts et non des donations.</w:t>
      </w:r>
    </w:p>
    <w:p>
      <w:r>
        <w:rPr>
          <w:b/>
        </w:rPr>
        <w:t>E. 5</w:t>
      </w:r>
    </w:p>
    <w:p>
      <w:r>
        <w:t>Les droits d'enregistrement sont un impôt qui frappe toute pièce, constatation, déclaration, condamnation, convention, transmission, cession et en général toute opération ayant un caractère civil ou judiciaire, dénommée dans la présente loi : "actes et opérations", soumis soit obligatoirement soit facultativement à la formalité de l'enregistrement ; ils sont perçus par l'administration de l'enregistrement, des droits de succession et du timbre du canton de Genève (art. 1 al. 1 LDE). L'enregistrement consiste à analyser et à mentionner dans un registre spécial tous actes et opérations soumis à cette formalité (al. 2) Au sens de la loi, l'expression "enregistré" ne vise que les opérations effectuées par l'administration mentionnées ci-dessus (al. 3).</w:t>
      </w:r>
    </w:p>
    <w:p>
      <w:r>
        <w:rPr>
          <w:b/>
        </w:rPr>
        <w:t>E. 6</w:t>
      </w:r>
    </w:p>
    <w:p>
      <w:r>
        <w:t>L’art. 3 let. h LDE soumet obligatoirement à l’enregistrement, sous réserve des exceptions prévues par la loi, les donations et autres avantages semblables que les dispositions du titre IV assujettissent à cette obligation sous réserve des dispositions de l’art. 6 let. u et v LDE</w:t>
      </w:r>
    </w:p>
    <w:p>
      <w:r>
        <w:rPr>
          <w:b/>
        </w:rPr>
        <w:t>E. 7</w:t>
      </w:r>
    </w:p>
    <w:p>
      <w:r>
        <w:t>Selon l’art. 11 al. 1 LDE, sous réserve des exceptions mentionnées aux art. 6, let. u et v, 28 et 29, al. 5 LDE, prévoit que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w:t>
      </w:r>
    </w:p>
    <w:p>
      <w:r>
        <w:rPr>
          <w:b/>
        </w:rPr>
        <w:t>E. 8</w:t>
      </w:r>
    </w:p>
    <w:p>
      <w:r>
        <w:t>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w:t>
      </w:r>
    </w:p>
    <w:p>
      <w:r>
        <w:t>- 8/10 - A/624/2008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 BADDELEY in L. THÉVENOZ/F. WERRO, Code des obligations I, Commentaire romand, art. 239 CO, p. 1241, §7).</w:t>
      </w:r>
    </w:p>
    <w:p>
      <w:r>
        <w:t>La volonté de donner n’est pas présumée ; la preuve, en cas de litige incombe au donataire (M. BADDELEY, op. cit., art. 239, p. 1241, § 22). La volonté de donner doit se manifester par l’appauvrissement du donateur lequel est la contrepartie de l’enrichissement du donataire (M. BADDELEY, op. cit., art. 239, p. 1242-1243, § 31; Arrêt du Tribunal fédéral 2C_961/2010 du 30 janvier 2012, consid. 5.2 ; 4A_201/2009 du 24 juin 2009).</w:t>
      </w:r>
    </w:p>
    <w:p>
      <w:r>
        <w:t>Selon la jurisprudence, la notion de donation en droit fiscal ne se confond pas avec celle du droit civil. Même si une donation ne devait pas être qualifiée comme telle dans ce dernier domaine du droit, elle devrait l'être quand même, au sens fiscal, qualifiée de donation selon le sens général des mots (ATF 118 I a 497 consid. 2b/bb p. 501 ; ATA/520/2004 du 4 juin 2004 consid. 3 et les références citées).</w:t>
      </w:r>
    </w:p>
    <w:p>
      <w:r>
        <w:rPr>
          <w:b/>
        </w:rPr>
        <w:t>E. 9</w:t>
      </w:r>
    </w:p>
    <w:p>
      <w:r>
        <w:t>Selon l’art. 312 CO,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w:t>
      </w:r>
    </w:p>
    <w:p>
      <w:r>
        <w:rPr>
          <w:b/>
        </w:rPr>
        <w:t>E. 10</w:t>
      </w:r>
    </w:p>
    <w:p>
      <w:r>
        <w:t>En l’espèce, il ressort du dossier que l’intention des parties était de conclure une donation. Les versements opérés par le recourant contenaient à la fois les deux éléments objectifs des donations, soit l'acte d'attribution et la gratuité, ainsi que l'élément subjectif, soit l'intention libérale. Les sommes ont été mises à la disposition du frère de l'intéressé et de Mme S______, par versements postaux successifs ou de la main à la main. Aucune pièce établie à la date des transferts des fonds étaye la position du recourant selon laquelle ces versements seraient des prêts. Il n'avait pas fait ses versements à raison d'une contre-prestation. Les reconnaissances de dettes de juin 2008 ont été produites tardivement dans le cours de la procédure et aucune portée ne peut leur être accordée. Au contraire, la volonté de donner du recourant a été établie à satisfaction de droit et l'appréciation de l'AFC à cet égard est fondée. Peu importe les qualifications - au demeurant</w:t>
      </w:r>
    </w:p>
    <w:p>
      <w:r>
        <w:t>- 9/10 - A/624/2008 fluctuantes - données par le contribuable à ces transferts d'argent, dès lors qu'il n'est pas à même de produire des justificatifs permettant de les établir.</w:t>
      </w:r>
    </w:p>
    <w:p>
      <w:r>
        <w:rPr>
          <w:b/>
        </w:rPr>
        <w:t>E. 11</w:t>
      </w:r>
    </w:p>
    <w:p>
      <w:r>
        <w:t>Mal fondé, le recours sera rejeté.</w:t>
      </w:r>
    </w:p>
    <w:p>
      <w:r>
        <w:t>Le recourant étant au bénéfice de l'assistance juridique, aucun émolument ne sera perçu (art. 12 du règlement sur le frais, émoluments et indemnités en procédure administrative du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