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ATA/301/2022 vom 22. März 2022</w:t>
      </w:r>
    </w:p>
    <w:p>
      <w:r>
        <w:t>GE Cour de justice, 2022-03-22, FR</w:t>
      </w:r>
    </w:p>
    <w:p>
      <w:r>
        <w:rPr>
          <w:b/>
        </w:rPr>
        <w:t xml:space="preserve">Quelle: </w:t>
      </w:r>
      <w:r>
        <w:t>https://mcp.opencaselaw.ch/entscheid/ge_gerichte_ATA_301_2022</w:t>
      </w:r>
    </w:p>
    <w:p>
      <w:r>
        <w:t>FR: GE_GERICHTE ATA/301/2022 du 22 mars 2022</w:t>
      </w:r>
    </w:p>
    <w:p>
      <w:r>
        <w:t>IT: GE_GERICHTE ATA/301/2022 del 22 marzo 2022</w:t>
      </w:r>
    </w:p>
    <w:p>
      <w:pPr>
        <w:pStyle w:val="Heading2"/>
      </w:pPr>
      <w:r>
        <w:t>Erwägungen</w:t>
      </w:r>
    </w:p>
    <w:p>
      <w:r>
        <w:rPr>
          <w:b/>
        </w:rPr>
        <w:t>E. 17</w:t>
      </w:r>
    </w:p>
    <w:p>
      <w:r>
        <w:t>décembre 2019 consid. 4 ; ATA/1362/2019 du 10 septembre 2019 consid. 6c ; cette interprétation est critiquée par certains auteurs qui l'estiment trop restrictive : Stéphane GRODECKI/Romain JORDAN, Code annoté de procédure administrative genevoise, 2017, n. 659 ss ad art. 57 LPA ; Stéphane GRODECKI/Romain JORDAN, Questions choisies de procédure administrative, SJ 2014 II p. 458 ss).</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t>c. En l'espèce, le recourant fait valoir, à titre de préjudice irréparable, le fait qu'en raison de la décision litigieuse il est privé d'exercer son activité lucrative dans la mesure où sa carte demeurerait saisie par l'autorité administrative, après la fin de sa saisie ordonnée par le MP, et où la décision querellée suspend son autorisation de pratiquer. Il plaide toutefois l'effet suspensif automatique de son recours, l'autorité concluant de son côté au retrait de celui-ci.</w:t>
      </w:r>
    </w:p>
    <w:p>
      <w:r>
        <w:t>Dans ces conditions, et sous réserve d'une décision sur effet suspensif, il devrait récupérer sa carte, pouvoir exercer et la procédure ne devrait pas être considérée comme suspendue.</w:t>
      </w:r>
    </w:p>
    <w:p>
      <w:r>
        <w:t>La recevabilité du recours souffrira de rester indécise compte tenu de ce qui suit. 3)</w:t>
      </w:r>
    </w:p>
    <w:p>
      <w:r>
        <w:t>À titre préalable, le recourant sollicite son audition.</w:t>
      </w:r>
    </w:p>
    <w:p>
      <w:r>
        <w:t>- 9/18 - A/454/2022</w:t>
      </w:r>
    </w:p>
    <w:p>
      <w:r>
        <w:t>a.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2C_74/2019 du 13 mai 2019 consid. 3.1 et les références citées ; ATA/358/2020 du 16 avril 2020 consid. 7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comprend pas le droit d’être entendu oralement, ni celui d’obtenir l’audition de témoins (ATF 140 I 68 consid. 9.6 ; 134 I 140 consid. 5.3).</w:t>
      </w:r>
    </w:p>
    <w:p>
      <w:r>
        <w:t>c. Le recourant a pu en l'espèce faire valoir ses arguments avant la décision querellée, par sa détermination du 15 octobre 2020 puis par son acte de recours et sa réplique. Il a pu produire toutes pièces utiles. Il n'indique pas en quoi son audition serait nécessaire.</w:t>
      </w:r>
    </w:p>
    <w:p>
      <w:r>
        <w:t>La chambre administrative considère qu’elle dispose d’un dossier complet lui permettant de trancher les griefs soulevés en toute connaissance de cause. Il sera en conséquence renoncé à l'audition du recourant. 4)</w:t>
      </w:r>
    </w:p>
    <w:p>
      <w:r>
        <w:t>Le recourant se plaint d'une violation de son droit d'être entendu dans la mesure où l'autorité intimée ne lui aurait pas donné l'occasion de se déterminer avant le prononcé de la décision litigieuse, respectivement où sa décision ne serait pas motivée.</w:t>
      </w:r>
    </w:p>
    <w:p>
      <w:r>
        <w:t>a. 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w:t>
      </w:r>
    </w:p>
    <w:p>
      <w:r>
        <w:t>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La motivation peut d'ailleurs être implicite et résulter des différents considérants de la décision (arrêts</w:t>
      </w:r>
    </w:p>
    <w:p>
      <w:r>
        <w:t>- 10/18 - A/454/2022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w:t>
      </w:r>
    </w:p>
    <w:p>
      <w:r>
        <w:t>c.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w:t>
      </w:r>
    </w:p>
    <w:p>
      <w:r>
        <w:t>d. En l'espèce, comme déjà relevé, le recourant a pu, dans son courrier du 15 octobre 2020, faire part de ses observations en lien avec l'ouverture d'une procédure administrative à son encontre le 7 octobre 2020. Il savait alors qu'elle avait pour but de déterminer s'il avait enfreint l'art. 14 LAInt au vu du comportement dénoncé par l'OCPM s'agissant des faits intervenus le 25 septembre 2021 dans ses locaux. Son attention a alors également été expressément attirée sur le fait que si tel devait être le cas, il s'exposait à une sanction disciplinaire et au retrait définitif de son autorisation d'exercer.</w:t>
      </w:r>
    </w:p>
    <w:p>
      <w:r>
        <w:t>Certes, la décision querellée n'est intervenue qu'une année et trois mois plus tard. L'autorité intimée explique à cet égard de manière convaincante qu'il ne se justifiait pas, dans le cadre de la procédure administrative, de prononcer des mesures provisionnelles visant à la saisie de la carte de légitimation du recourant et à sa suspension d'autorisation tant et si longtemps que ladite carte était saisie pénalement. Or, ce que le recourant ne conteste pas, l'autorité intimée n'a eu connaissance que le 14 janvier 2022, de sa bouche, qu'à la suite de son audition dans la procédure pénale, le MP entendait classer la procédure pénale et allait lui</w:t>
      </w:r>
    </w:p>
    <w:p>
      <w:r>
        <w:t>- 11/18 - A/454/2022 rendre sa carte de légitimation. Dans ces circonstances, il ne peut être fait grief au département d'avoir réagi uniquement au moment de la prise de connaissance de cette information pour rendre la décision de mesures provisionnelles litigieuse. En effet, tant et aussi longtemps que la carte du recourant était saisie par les autorités pénales, ce dernier était de facto empêché d'exercer son activité de détective privé. En revanche, à la suite de la restitution de sa carte, nonobstant la procédure administrative en cours, rien ne l'empêchait, sauf prononcé de mesures provisionnelles, d'exercer à nouveau.</w:t>
      </w:r>
    </w:p>
    <w:p>
      <w:r>
        <w:t>Reste à déterminer si le département devait formellement et préalablement interpeller le recourant avant le prononcé de telles mesures. Ce dernier était informé de l'ouverture d'une procédure administrative en parallèle de la procédure pénale à compter du 7 octobre 2020. Il pouvait donc et devait s'attendre à ce qu'une décision incidente intervienne dans la première, une fois que l'autorité aurait connaissance en particulier de l'intention du MP de lui rendre sa carte de légitimation. Comme déjà relevé, l'autorité avait, en janvier 2022, connaissance de ses arguments et de sa position tels que développés dans son courrier du 15 octobre 2020.</w:t>
      </w:r>
    </w:p>
    <w:p>
      <w:r>
        <w:t>Quant au contenu de la décision querellée que le recourant juge lacunaire, il a valablement et en connaissance de cause été en mesure de faire valoir ses arguments devant la chambre de céans, laquelle dispose d'un plein pouvoir de cognition en fait et en droit, ce quand bien même la décision du 24 janvier 2022 ne comporte effectivement qu'une brève motivation. Cette décision fait toutefois expressément mention d'un contact qu'il avait eu avec le service juridique du département en lien avec sa récente audition devant le MP et que, dans la mesure où la procédure pénale était pendante, la suspension de la procédure administrative, respectivement les mesures provisionnelles attaquées s'imposaient.</w:t>
      </w:r>
    </w:p>
    <w:p>
      <w:r>
        <w:t>Son grief d'une violation du droit d'être entendu sous ces deux angles sera partant écarté. 5)</w:t>
      </w:r>
    </w:p>
    <w:p>
      <w:r>
        <w:t>Le recourant reproche à l'autorité intimée d'avoir suspendu la procédure administrative, dans l'issue de la procédure pénale.</w:t>
      </w:r>
    </w:p>
    <w:p>
      <w:r>
        <w:t>a.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w:t>
      </w:r>
    </w:p>
    <w:p>
      <w:r>
        <w:t>- 12/18 - A/454/2022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(ATA/1493/2019 précité consid. 3b).</w:t>
      </w:r>
    </w:p>
    <w:p>
      <w:r>
        <w:t>b. Une suspension de la procédure a été admise par la chambre de céans dans le cadre d'une procédure disciplinaire contre un gardien de prison jusqu'à droit jugé au pénal sur les faits qui lui étaient reprochés (ATA/888/2015 du 1er septembre 2015). 6)</w:t>
      </w:r>
    </w:p>
    <w:p>
      <w:r>
        <w:t>L'art. 287 CP réprime le comportement de celui qui, dans un dessein illicite, aura usurpé l'exercice d'une fonction ou le pouvoir de donner des ordres militaires. Cette disposition vise l'exercice de la puissance publique, en particulier le droit de rendre des décisions. Le comportement punissable consiste à exercer le pouvoir en faisant croire que l'on est autorisé à agir alors que tel n'est pas le cas. L'usurpation peut se limiter à une seule activité entrant dans la compétence de la fonction usurpée (ATF 128 IV 164 consid. 3c/aa p. 167; arrêt 6B_218/2013 du 13 juin 2013 consid. 3.1). 7) a. La LAInt est applicable notamment aux agents intermédiaires exerçant la profession d'agents de renseignements, dont les détectives privés (art. 1 al. 1 let. b), à savoir celui qui fait profession de donner des renseignements sur un tiers (art. 13 al. 2 LAInt).</w:t>
      </w:r>
    </w:p>
    <w:p>
      <w:r>
        <w:t>b. Selon l'art. 2 al. 1 LAInt, nul ne peut exercer, dans le canton de Genève, une des professions d'agents intermédiaires sans être au bénéfice d'une autorisation préalable délivrée par le département.</w:t>
      </w:r>
    </w:p>
    <w:p>
      <w:r>
        <w:t>L'autorisation est notamment refusée à celui dont le casier judiciaire contient une condamnation pénale en raison d’actes contraires à la probité et à celui dont l’honorabilité n’a pu être attestée par un certificat de bonne vie et mœurs (art. 3 let. c et d LAInt).</w:t>
      </w:r>
    </w:p>
    <w:p>
      <w:r>
        <w:t>c. Il est interdit à un agent de renseignements de se donner un titre qui puisse faire naître l’idée qu’il représenterait l’autorité publique, en particulier les organes de la police officielle (art. 14 LAInt).</w:t>
      </w:r>
    </w:p>
    <w:p>
      <w:r>
        <w:t>- 13/18 - A/454/2022</w:t>
      </w:r>
    </w:p>
    <w:p>
      <w:r>
        <w:t>Les agents de renseignements et leurs employés doivent être en possession d’une carte de légitimation qu’ils sont tenus de présenter spontanément à toute personne à laquelle ils s’adressent dans l’exercice de leur profession. Cette carte, qui est munie d’une photographie du type passeport, indique la profession du titulaire (agent de renseignements commerciaux, détective privé ou employé). Elle ne doit contenir aucune expression qui puisse laisser supposer qu’il appartient à la police. Les termes de « police » ou de « policier » sont interdits. La carte de légitimation est délivrée par le département contre un émolument de CHF 100.- (art. 16 al. 1 à 3 RAInt).</w:t>
      </w:r>
    </w:p>
    <w:p>
      <w:r>
        <w:t>d. Le département prononce le retrait de l'autorisation lorsque les conditions auxquelles la LAInt et le RAInt subordonnent son octroi ne sont plus remplies (art. 4 al. 1 LAInt). Le retrait peut être prononcé temporairement ou définitivement, en cas d’infraction à l’une quelconque des dispositions de la LAInt ou du RAInt (al. 2).</w:t>
      </w:r>
    </w:p>
    <w:p>
      <w:r>
        <w:t>e. Selon l'art. 6 LAInt, celui qui, étant inscrit au tableau officiel d’une profession d’agents intermédiaires, se rend coupable d’un manquement à ses devoirs professionnels, est passible des sanctions disciplinaires prévues par la LAInt, sans préjudice des peines qu’il peut encourir en raison d’infractions à ces mêmes normes.</w:t>
      </w:r>
    </w:p>
    <w:p>
      <w:r>
        <w:t>L'art. 16 al. 2 LAInt prévoit que lorsque l’agent de renseignements est fautif, le département peut, suivant la gravité du cas prononcer : l’avertissement, oral ou écrit (let. a) ; le blâme écrit (let. b) ; la suspension, c’est-à-dire le retrait temporaire de l’autorisation, pour une durée de 3 mois à 3 ans (let. c) ; la destitution, c’est-à-dire le retrait définitif de l’autorisation (let. d). Aucune sanction ne peut être prononcée sans que le fautif ait été préalablement entendu par le Conseiller d’État chargé du département ou dûment convoqué par ce dernier (art. 16 al. 3 LAInt).</w:t>
      </w:r>
    </w:p>
    <w:p>
      <w:r>
        <w:t>f.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de la fonction publique et dans les professions libérales, particulièrement en Suisse, in RJJ 1998, n. 55 p. 14).</w:t>
      </w:r>
    </w:p>
    <w:p>
      <w:r>
        <w:t>- 14/18 - A/454/2022</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8)</w:t>
      </w:r>
    </w:p>
    <w:p>
      <w:r>
        <w:t>En l'espèce, le département a fait usage de la faculté prévue à l'art. 14 LPA de suspendre la procédure administrative en attente de l'issue de la procédure pénale. Cette décision fait sens, puisque c'est le comportement du recourant du 25 septembre 2020 qui a donné lieu tant à l'ouverture de la procédure pénale que de la procédure administrative. Ainsi l'autorité intimée, tout comme le recourant au demeurant, dispose d'un intérêt certain à connaître les motifs qui conduiraient l'autorité pénale à classer la procédure, comme cela est annoncé par l'avis de prochaine clôture du 4 février 2022. Quand bien même les conditions du prononcé d'une sanction pénale sur la base d'une infraction à l'art. 287 CP, respectivement d'un retrait de l'autorisation ou d'une sanction prononcée sur la base de la LAInt ne sont pas identiques, et que l'autorité administrative n'est nullement liée par les considérants de la décision de l'autorité pénale, il lui est nécessaire de connaître le résultat de l'enquête conduite par les autorités pénales qui disposent de davantage de moyens, en particulier la mise en œuvre de la police, pour réunir les éléments pertinents. Le principe de célérité ne s'y oppose par ailleurs pas en l'espèce dans la mesure où la procédure pénale est à bout touchant.</w:t>
      </w:r>
    </w:p>
    <w:p>
      <w:r>
        <w:t>Dans ces conditions, il ne peut être fait le grief à l'autorité intimée d'avoir suspendu la procédure administrative jusqu'à droit jugé au pénal mais au plus tard jusqu'au mois de juillet 2022. 9)</w:t>
      </w:r>
    </w:p>
    <w:p>
      <w:r>
        <w:t>Le recourant conteste les mesures ordonnées à titre provisionnel que sont la saisie de sa carte de détective privé et l'interdiction provisoire de pratiquer en cette qualité. Ni l'urgence, ni l'intérêt public ne commanderaient de telles mesures, au demeurant disproportionnées, contraires aux principes de la bonne foi et de la présomption d'innocence.</w:t>
      </w:r>
    </w:p>
    <w:p>
      <w:r>
        <w:t>a. À teneur de l'art. 21 LPA, l'autorité administrative peut ordonner, d'office ou sur requête, des mesures provisionnelles lorsqu'il est nécessaire de régler provisoirement la situation en cause, jusqu'au prononcé de la décision finale.</w:t>
      </w:r>
    </w:p>
    <w:p>
      <w:r>
        <w:t>- 15/18 - A/454/2022</w:t>
      </w:r>
    </w:p>
    <w:p>
      <w:r>
        <w:t>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 RDAF 2005 II 109 ss, spéc. 120 ; ATA/112/2018 du 6 février 2018 consid. 4 ; ATA/1004/2015 du 29 septembre 2015 consid. 6d ; Thierry TANQUEREL, Manuel de droit administratif, 2ème éd., 2018, n. 580).</w:t>
      </w:r>
    </w:p>
    <w:p>
      <w:r>
        <w:t>c.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w:t>
      </w:r>
    </w:p>
    <w:p>
      <w:r>
        <w:t>- 16/18 - A/454/2022 résultat escompté du point de vue de l'intérêt public (ATF 140 I 218 consid. 6.7.1 ; 136 IV 97 consid. 5.2.2 ; 135 I 169 consid. 5.6). 10) In casu, faire droit à la requête du recourant reviendrait à lui permettre de récupérer sa carte de légitimation de détective privé et de travailler comme tel avant que la cause pénale soit tranchée et la procédure administrative instruite.</w:t>
      </w:r>
    </w:p>
    <w:p>
      <w:r>
        <w:t>Or, il existe indéniablement un intérêt public à ce qu'une personne exerçant cette activité le fasse dans le plus strict respect de la LAInt et du RAInt. En l'état du dossier, il existe suffisamment d'éléments qui rendent vraisemblable que le 25 septembre 2020 à tout le moins, le recourant a adopté un comportement ambigu qui a mené l'OCPM à le dénoncer au département dont il dépend et à l'autorité pénale. Quand bien même il bénéficie de la présomption d'innocence et que le classement de la procédure pénale est envisagé par le MP, ceci ne signifie pas encore qu'aucun comportement méritant suspension, retrait provisoire ou permanent de son autorisation et/ou sanction ne puisse lui être reproché.</w:t>
      </w:r>
    </w:p>
    <w:p>
      <w:r>
        <w:t>Par ailleurs, l'urgence tient en l'espèce au fait que, comme le recourant l'a annoncé au département le 14 janvier 2022, il est question qu'il récupère sa carte de légitimation au moment du classement de la procédure par le MP qui devrait être imminent. Or, ceci ne signifie pas pour autant la fin de la procédure administrative ouverte à son encontre. Dans l'intervalle, il y a lieu d'empêcher à titre provisionnel que le recourant n'exerce l'activité de détective privé. La décision querellée qui ordonne la saisie provisionnelle de la carte de détective privé et l'interdiction provisoire d'exercer est apte à atteindre ce but. Elle s'avère proportionnée, étant toutefois relevé que l'autorité intimée devra agir avec célérité dès connaissance des éléments de la procédure pénale, vu la situation du recourant qui, de par la durée de ladite procédure, ne peut pas travailler comme détective privé depuis la saisie de sa carte par la police le 7 janvier 2021.</w:t>
      </w:r>
    </w:p>
    <w:p>
      <w:r>
        <w:t>Enfin, comme déjà abordé ci-dessus, l'autorité intimée n'a pas eu de comportement contraire à la bonne foi à l'endroit du recourant, dans la mesure où c'est au moment où elle a appris de sa bouche qu'il allait récupérer sa carte d'agent de détective privé qu'elle a pris les mesures provisionnelles conservatoires attaquées. Elle n'a en particulier donné aucune assurance au recourant selon laquelle il n'y aurait aucune suite administrative selon le sort réservé à la procédure pénale.</w:t>
      </w:r>
    </w:p>
    <w:p>
      <w:r>
        <w:t>Infondé, le recours sera rejeté.</w:t>
      </w:r>
    </w:p>
    <w:p>
      <w:r>
        <w:t>Le prononcé du présent arrêt rend la demande de l'autorité intimée de retirer l'effet suspensif au recours sans objet.</w:t>
      </w:r>
    </w:p>
    <w:p>
      <w:r>
        <w:t>- 17/18 - A/454/2022 11) Vu l'issue du litige, un émolument de CHF 800.-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