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ATA/301/2012 vom 15. Mai 2012</w:t>
      </w:r>
    </w:p>
    <w:p>
      <w:r>
        <w:t>GE Cour de justice, 2012-05-15, FR</w:t>
      </w:r>
    </w:p>
    <w:p>
      <w:r>
        <w:rPr>
          <w:b/>
        </w:rPr>
        <w:t xml:space="preserve">Quelle: </w:t>
      </w:r>
      <w:r>
        <w:t>https://mcp.opencaselaw.ch/entscheid/ge_gerichte_ATA_301_2012</w:t>
      </w:r>
    </w:p>
    <w:p>
      <w:r>
        <w:t>FR: GE_GERICHTE ATA/301/2012 du 15 mai 2012</w:t>
      </w:r>
    </w:p>
    <w:p>
      <w:r>
        <w:t>IT: GE_GERICHTE ATA/301/2012 del 15 maggio 2012</w:t>
      </w:r>
    </w:p>
    <w:p>
      <w:pPr>
        <w:pStyle w:val="Heading2"/>
      </w:pPr>
      <w:r>
        <w:t>Regeste</w:t>
      </w:r>
    </w:p>
    <w:p>
      <w:r>
        <w:t>Résumé: La décision sur mesures provisionnelles de retrait de l'autorisation de pratiquer d'un dentiste, prise par le médecin cantonal, respecte le principe de la proportionnalité dès lors que l'intérêt public à l'application immédiate de cette décision l'emporte sur l'intérêt privé du dentiste à continuer d'exercer sa profession, ce dernier ayant eu des comportements et des gestes déplacés envers certaines de ses patientes et présentant un risque de récidive.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mars 2012 sera confirmée.</w:t>
      </w:r>
    </w:p>
    <w:p>
      <w:r>
        <w:t>Mal fondé, le recours sera rejeté. 12) Vu l’issue du litige, un émolument de CHF 1'000.- sera mis à la charge du recourant. Il ne lui sera pas alloué d’indemnité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