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ATA/300/2012 vom 15. Mai 2012</w:t>
      </w:r>
    </w:p>
    <w:p>
      <w:r>
        <w:t>GE Cour de justice, 2012-05-15, FR</w:t>
      </w:r>
    </w:p>
    <w:p>
      <w:r>
        <w:rPr>
          <w:b/>
        </w:rPr>
        <w:t xml:space="preserve">Quelle: </w:t>
      </w:r>
      <w:r>
        <w:t>https://mcp.opencaselaw.ch/entscheid/ge_gerichte_ATA_300_2012</w:t>
      </w:r>
    </w:p>
    <w:p>
      <w:r>
        <w:t>FR: GE_GERICHTE ATA/300/2012 du 15 mai 2012</w:t>
      </w:r>
    </w:p>
    <w:p>
      <w:r>
        <w:t>IT: GE_GERICHTE ATA/300/2012 del 15 maggio 2012</w:t>
      </w:r>
    </w:p>
    <w:p>
      <w:pPr>
        <w:pStyle w:val="Heading2"/>
      </w:pPr>
      <w:r>
        <w:t>Regeste</w:t>
      </w:r>
    </w:p>
    <w:p>
      <w:r>
        <w:t>Résumé: La suspension des délais en droit administratif, introduite dans la LPA le 1er janvier 2011 figurait dans un premier temps sous le titre relatif à la procédure de recours. La disposition topique a ensuite été déplacée le 27 septembre 2011 sous le titre relatif aux règles générales de procédure. L'intervalle très bref entre l'entrée en vigueur de ces deux dispositions témoigne de la volonté claire du législateur de faire bénéficier les parties d'une suspension des délais à tous les stades de la procédure administrative. Il faut dès lors considérer que le recourant bénéficiait de la suspension des délais dans le cadre de la procédure d'opposition et que son opposition n'était pas tardive, même si la période concernée précède le 27 septembre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Selon l’art. 51 al. 1 de la loi sur l’insertion et l’aide sociale individuelle du 22 mars 2007 (LIASI - J 4 04) les décisions de l’hospice peuvent faire l’objet d’une opposition écrite, adressée à la direction dans un délai de trente jours.</w:t>
      </w:r>
    </w:p>
    <w:p>
      <w:r>
        <w:t>Le délai a commencé à courir dès le lendemain de la notification de la décision (art. 17 al. 1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w:t>
      </w:r>
    </w:p>
    <w:p>
      <w:r>
        <w:rPr>
          <w:b/>
        </w:rPr>
        <w:t>E. 3</w:t>
      </w:r>
    </w:p>
    <w:p>
      <w:r>
        <w:t>a. Lorsque la décision n’est remise que contre la signature du destinataire ou d’un tiers habilité, elle est réputée reçue au plus tard sept jours après la première tentative infructueuse de distribution (art. 62 al. 4 LPA). Cette disposition légale entrée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ATF 127 I 31 consid. 2a/aa p. 34 rés. in SJ 2001 I 193 c. 2a/aa pp. 195-196 ; ATF 123 III 492 consid. 1 p. 493 ; ATF 119 V 89 consid. 4b/aa p. 94, et les arrêts cités).</w:t>
      </w:r>
    </w:p>
    <w:p>
      <w:r>
        <w:t>b.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c.1 pp. 493- 494 ; 113 Ib 87 c. 2b p. 89-90; arrêt non publié de la 1ère Cour de droit public dans la cause 1P.250/1995 c. 2b/cc ; SJ 2001 I 573 c. 5 p. 582).</w:t>
      </w:r>
    </w:p>
    <w:p>
      <w:r>
        <w:t>c.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procure, l’acte est également réputé notifié le dernier jour du délai de garde de sept jours et</w:t>
      </w:r>
    </w:p>
    <w:p>
      <w:r>
        <w:t>- 4/6 - A/787/2012 non point le dernier jour du délai de garde d’un mois (ATF 113 Ib 87 consid. 2b pp. 89- 90).</w:t>
      </w:r>
    </w:p>
    <w:p>
      <w:r>
        <w:t>d. La fiction de la notification constitue une règle claire, simple et avant tout uniforme (ATF 123 III 492 c. 1 pp. 493-494, et les références jurisprudentielles citées). Cela est également important pour l’autorité prenant la décision, d’éventuelles parties au litige et l’autorité de recours. La poste jouit aujourd’hui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(SJ 2001 I 193 c. 2b pp. 196-197).</w:t>
      </w:r>
    </w:p>
    <w:p>
      <w:r>
        <w:rPr>
          <w:b/>
        </w:rPr>
        <w:t>E. 4</w:t>
      </w:r>
    </w:p>
    <w:p>
      <w:r>
        <w:t>Par ailleurs, les délais en jours et en mois fixés par la loi ou par l’autorité ne courent pas du 15 juillet au 15 août inclusivement (art. 17A al. 1 let. b LPA). Cette suspension de délai a été introduite le 27 septembre 2011 (L 10761). A cette date, elle a abrogé l’art. 63 LPA, entré en vigueur le 1er janvier 2011 (L 10462), et dont la teneur était identique. Alors placée dans le chapitre I « Recours » du Titre IV « Procédure de recours en général », cette disposition donnait à penser, comme l’a fait l’autorité intimée, que le législateur avait voulu restreindre à la seule prise du recours les effets d’une suspension de délai. Il résulte toutefois des travaux préparatoires relatifs tant à la L 10462 qu’à la L 10761, que tel n’était pas le cas. Le rapport de la commission chargée d’examiner le PL10462 mentionne en effet que l’art. 63 LPA a été introduit sur proposition d’un commissaire car la suspension des délais constituait la norme dans la plupart des branches du droit, procédure administrative fédérale comprise, la procédure administrative genevoise faisant exception (Rapport PL10462-A p. 63). Or, les procédures fédérales connaissant de telles suspensions les placent dans les dispositions générales. L’art. 145 du code de procédure civile du 19 décembre 2008 (CPC - RS 272) figure ainsi dans le chapitre 3 « Délais, défaut et restitution » du Titre 9 « conduite du procès, acte de procédure et délais » de la première partie « Disposition générales » du CPC ; l’art. 22a de la loi fédérale sur la procédure administrative du 20 décembre 1968 (PA - RS 172.021) fait quant à lui partie du chapitre II « Règles générales de procédure » de la PA. Dans le rapport de la même commission, concernant cette fois le PL10761, il est mentionné, à propos de l’art. 17A LPA, qu’un commissaire « propose de corriger une erreur remontant à la réforme de la procédure administrative. A l’époque, la commission a introduit une disposition relative à la suspension des délais. Curieusement, elle a placé cette disposition dans le chapitre relatif aux recours. C’est inadéquat, car la nécessité de</w:t>
      </w:r>
    </w:p>
    <w:p>
      <w:r>
        <w:t>- 5/6 - A/787/2012 préserver les droits des parties peut également se poser devant l’administration » (Rapport PL - 10761 A p. 50). A la suite de cela, le contenu de l’art. 63 LPA fut déplacé dans un nouvel art. 17 A LPA, sous Titre II « Règles générales de procédure », chapitre II « Délais ». Eu égard aux quelques mois seulement écoulés entre l’entrée en vigueur successive de ces deux dispositions, on ne peut faire abstraction de la volonté claire, inadéquatement traduite initialement dans la systématique légale mais rapidement transcrite à la bonne place, de faire bénéficier les parties d’une suspension des délais à tous les stades de la procédure (ATF 131 I 394 I 394 consid. 3.2 p. 396). Il y a donc lieu d’admettre que nonobstant sa place, l’art. 63 LPA s’appliquait d’une manière générale, et donc à la procédure d’opposition.</w:t>
      </w:r>
    </w:p>
    <w:p>
      <w:r>
        <w:rPr>
          <w:b/>
        </w:rPr>
        <w:t>E. 5</w:t>
      </w:r>
    </w:p>
    <w:p>
      <w:r>
        <w:t>En l’espèce, la décision du 9 juin 2011 est arrivée à l’office de poste le lendemain. Le délai de garde de sept jours est ainsi arrivé à échéance le vendredi 17 juin 2011. Le délai de recours a commencé à courir le 18 juin 2011 jusqu’au 14 juillet 2011. A cette date, il n’était pas échu et il restait encore trois jours utiles, dont le décompte n’a repris que le 16 août 2011 pour s’achever le jour du 18 août 2011.</w:t>
      </w:r>
    </w:p>
    <w:p>
      <w:r>
        <w:t>Expédiée le 21 juillet 2011, l’opposition des recourants a été ainsi formée en temps utile et l’hospice aurait dû la déclarer recevable.</w:t>
      </w:r>
    </w:p>
    <w:p>
      <w:r>
        <w:rPr>
          <w:b/>
        </w:rPr>
        <w:t>E. 6</w:t>
      </w:r>
    </w:p>
    <w:p>
      <w:r>
        <w:t>Selon l’art. 51 al. 2 LIASI, les décisions sur opposition doivent être rendues dans un délai de soixante jours. Il s’agit d’un délai d’ordre, la loi ne prévoyant aucune conséquence, en particulier pas l’admission de l’opposition au fond, en cas de non-respect de ce délai. Ce grief sera écarté.</w:t>
      </w:r>
    </w:p>
    <w:p>
      <w:r>
        <w:rPr>
          <w:b/>
        </w:rPr>
        <w:t>E. 7</w:t>
      </w:r>
    </w:p>
    <w:p>
      <w:r>
        <w:t>Au vu de ce qui précède, le recours sera partiellement admis et la cause renvoyée à l’hospice pour qu’il statue sur le fond de l’opposition.</w:t>
      </w:r>
    </w:p>
    <w:p>
      <w:r>
        <w:t>Nonobstant l’issue du litige, aucun émolument ne sera mis à la charge des parties. Aucune indemnité ne sera allouée aux recourants, qui agissent en personne et n’exposent pas avoir encouru de frais pour assurer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