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ATA/2/2020 vom 2. Januar 2020</w:t>
      </w:r>
    </w:p>
    <w:p>
      <w:r>
        <w:t>GE Cour de justice, 2020-01-02, FR</w:t>
      </w:r>
    </w:p>
    <w:p>
      <w:r>
        <w:rPr>
          <w:b/>
        </w:rPr>
        <w:t xml:space="preserve">Quelle: </w:t>
      </w:r>
      <w:r>
        <w:t>https://mcp.opencaselaw.ch/entscheid/ge_gerichte_ATA_2_2020</w:t>
      </w:r>
    </w:p>
    <w:p>
      <w:r>
        <w:t>FR: GE_GERICHTE ATA/2/2020 du 2 janvier 2020</w:t>
      </w:r>
    </w:p>
    <w:p>
      <w:r>
        <w:t>IT: GE_GERICHTE ATA/2/2020 del 2 gennaio 2020</w:t>
      </w:r>
    </w:p>
    <w:p>
      <w:pPr>
        <w:pStyle w:val="Heading2"/>
      </w:pPr>
      <w:r>
        <w:t>Erwägungen</w:t>
      </w:r>
    </w:p>
    <w:p>
      <w:r>
        <w:rPr>
          <w:b/>
        </w:rPr>
        <w:t>E. 18</w:t>
      </w:r>
    </w:p>
    <w:p>
      <w:r>
        <w:t>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4)</w:t>
      </w:r>
    </w:p>
    <w:p>
      <w:r>
        <w:t>En vertu de l’art. 76 al. 1 let. b LEI, après notification d’une décision de première instance de renvoi ou d’expulsion au sens de la LEI ou une décision de première instance d’expulsion au sens notamment des art. 66a ou 66abis du Code pénal suisse du 21 décembre 1937 (CP - RS 311.0),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LEI notamment (art. 76 al. 1 let. b ch. 3 LEI) ou si son comportement permet de conclure qu'elle se refuse à obtempérer aux instructions des autorités (art. 76 al. 1 let. b ch. 4 LEI).</w:t>
      </w:r>
    </w:p>
    <w:p>
      <w:r>
        <w:t>- 6/8 - A/4583/2019</w:t>
      </w:r>
    </w:p>
    <w:p>
      <w:r>
        <w:t>Ces chiffres 3 et 4 de l’art. 76 al. 1 let. b LEI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LEI, ces éléments peuvent constituer des indices parmi d’autres en vue d’établir un risque de fuite (arrêt du Tribunal fédéral 2C_142/2013 du 1er mars 2013 consid. 4.2 ; ATF 140 II 1 précité).</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5)</w:t>
      </w:r>
    </w:p>
    <w:p>
      <w:r>
        <w:t>En l’espèce, le recourant fait l’objet de mesure d’interdiction d’entrée ainsi que d’une décision de renvoi de Suisse.</w:t>
      </w:r>
    </w:p>
    <w:p>
      <w:r>
        <w:t>Il fait l’objet de plusieurs condamnations pénales, d’une gravité très relative.</w:t>
      </w:r>
    </w:p>
    <w:p>
      <w:r>
        <w:t>C’est à juste titre que le TAPI a retenu qu’il existait des comportements saisis par l’art. 76 al. 1 let. b LEI : M. B______ indique qu’il n'entend pas quitter la Suisse, et il a refusé de prendre un vol à destination de son pays d’origine pour des motifs d’une importance secondaire, soit le fait qu’il ne puisse pas prendre l’ensemble de ses bagages.</w:t>
      </w:r>
    </w:p>
    <w:p>
      <w:r>
        <w:t>Les reproches formulés par le recourant sont inaptes à modifier l’appréciation qui vient d’être faite. L'inaction reprochée aux autorités n’apparaît pas porter atteinte au principe de la célérité, dès lors que ces autorités, dès le moment où elles ont eu en mains les documents permettant d’exécuter le renvoi de l’intéressé vers son pays d’origine, ont agi sans désemparer, réservant à l’intéressé</w:t>
      </w:r>
    </w:p>
    <w:p>
      <w:r>
        <w:t>- 7/8 - A/4583/2019 une place dans un avion à destination de la Tunisie le jour où il a été remis en liberté par les autorités pénales. 6)</w:t>
      </w:r>
    </w:p>
    <w:p>
      <w:r>
        <w:t>Au vu des éléments mis en évidence ci-dessus, le recours de M. B______ sera rejeté.</w:t>
      </w:r>
    </w:p>
    <w:p>
      <w:r>
        <w:t>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