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ATA/295/2015 vom 24. März 2015</w:t>
      </w:r>
    </w:p>
    <w:p>
      <w:r>
        <w:t>GE Cour de justice, 2015-03-24, FR</w:t>
      </w:r>
    </w:p>
    <w:p>
      <w:r>
        <w:rPr>
          <w:b/>
        </w:rPr>
        <w:t xml:space="preserve">Quelle: </w:t>
      </w:r>
      <w:r>
        <w:t>https://mcp.opencaselaw.ch/entscheid/ge_gerichte_ATA_295_2015</w:t>
      </w:r>
    </w:p>
    <w:p>
      <w:r>
        <w:t>FR: GE_GERICHTE ATA/295/2015 du 24 mars 2015</w:t>
      </w:r>
    </w:p>
    <w:p>
      <w:r>
        <w:t>IT: GE_GERICHTE ATA/295/2015 del 24 marzo 2015</w:t>
      </w:r>
    </w:p>
    <w:p>
      <w:pPr>
        <w:pStyle w:val="Heading2"/>
      </w:pPr>
      <w:r>
        <w:t>Erwägungen</w:t>
      </w:r>
    </w:p>
    <w:p>
      <w:r>
        <w:rPr>
          <w:b/>
        </w:rPr>
        <w:t>E. 12</w:t>
      </w:r>
    </w:p>
    <w:p>
      <w:r>
        <w:t>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w:t>
      </w:r>
    </w:p>
    <w:p>
      <w:r>
        <w:t>- 5/10 - A/246/2015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w:t>
      </w:r>
    </w:p>
    <w:p>
      <w:r>
        <w:t>e. En l’espèce, le recourant dispose d'un intérêt digne de protection à recourir contre les deux aspects de la sanction prononcée à son encontre, la légalité devant pouvoir faire l’objet d’un contrôle en vertu de la jurisprudence du Tribunal fédéral précitée, nonobstant l’absence d’intérêt actuel, dans la mesure où cette situation pourrait encore se présenter (ATA/591/2014 du 29 juillet 2014 consid. 2 ; ATA/183/2013 du 19 mars 2013 et la jurisprudence citée). De même, le recourant a un intérêt actuel dès lors qu’il est sans travail. Dans l’hypothèse où il devrait à nouveau bénéficier d’une place en atelier, la condition de l’intérêt actuel serait toujours remplie, la situation d’une privation de travail pouvant à nouveau se présenter.</w:t>
      </w:r>
    </w:p>
    <w:p>
      <w:r>
        <w:t>Le recours est donc recevable à tous points de vue. 3)</w:t>
      </w:r>
    </w:p>
    <w:p>
      <w:r>
        <w:t>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4)</w:t>
      </w:r>
    </w:p>
    <w:p>
      <w:r>
        <w:t>Le statut des personnes incarcérées à la prison est régi par le RRIP (art. 1 al. 3 de la loi sur l’organisation et le personnel de la prison du 21 juin 1984 - LOPP - F 1 50).</w:t>
      </w:r>
    </w:p>
    <w:p>
      <w:r>
        <w:t>- 6/10 - A/246/2015</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la privation de travail (let. e), le placement en cellule forte pour dix jours au plus (let. f). Les sanctions prévues à l’al. 3, let. a à f peuvent être cumulées. 5)</w:t>
      </w:r>
    </w:p>
    <w:p>
      <w:r>
        <w:t>Selon les directives internes relatives à la discipline dans les ateliers, les comportements troublant l'ordre ou la tranquillité peuvent conduire au prononcé d'une mesure de privation de travail ou à une suppression temporaire de travail. 6)</w:t>
      </w:r>
    </w:p>
    <w:p>
      <w:r>
        <w:t>Selon la jurisprudence, la mesure de suppression du travail se justifie dans la mesure où les possibilités de travailler au sein de la prison doivent être réservées à des détenus capables de garder leur calme ce qui n’est pas le cas des détenus qui se bagarrent (ATA/35/2014 du 21 janvier 2014 ; ATA/307/2013 du 14 mai 2013 ; ATA/505/2012 du 31 juillet 2012 ; ATA/467/2012 du 30 juillet 2012) ou qui insultent le personnel (en l’espèce, à trois reprises ; ATA/276/2013 du 30 avril 2013). Une suppression de travail suite à une soustraction au travail a été jugée proportionnée (ATA/426/2012 du 3 juillet 2012). Une privation de travail en cuisine a été jugée proportionnée à la suite d’un refus d’obtempérer aux instructions du personnel de surveillance et menaces sur ce dernier (ATA/418/2012 du 3 juillet 2012).</w:t>
      </w:r>
    </w:p>
    <w:p>
      <w:r>
        <w:t>De jurisprudence constante, la chambre de céans accorde généralement une pleine valeur probante aux constatations figurant dans un rapport de police, établi par des agents assermentés (ATA/99/2014 précité), sauf si des éléments permettent de s’en écarter. Dès lors que les agents de détention sont également des fonctionnaires assermentés (art. 7 LOPP), le même raisonnement peut être appliqué aux rapports établis par ces derniers. 7)</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- 7/10 - A/246/2015</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w:t>
      </w:r>
    </w:p>
    <w:p>
      <w:r>
        <w:t>En l'espèce, le recourant conteste avoir été insultant à l’égard du gardien.</w:t>
      </w:r>
    </w:p>
    <w:p>
      <w:r>
        <w:t>Le détenu n’apporte cependant aucun élément qui irait à l’encontre des faits tels que relatés par le gardien. Il se contente d’opposer sa version à celle de l’agent de détention. Compte tenu de la jurisprudence précitée, la chambre administrative retiendra que l’incident s’est déroulé conformément à ce qui est décrit dans le rapport. 9)</w:t>
      </w:r>
    </w:p>
    <w:p>
      <w:r>
        <w:t>Le recourant conteste la proportionnalité de la décision. Il ne semble pas remettre en cause la proportionnalité de la mise en cellule forte, mais concentre ses griefs contre la privation de travail. 10) a. La décision respecte la règle d’aptitude. Le moyen choisi est propre à atteindre le but fixé et la sanction est de nature à contribuer au fonctionnement normal d’un établissement pénitentiaire.</w:t>
      </w:r>
    </w:p>
    <w:p>
      <w:r>
        <w:t>b. Pour ce qui a trait au principe de la nécessité, les directives internes relatives à la discipline dans les ateliers précisent que les rapports de gardiens relatifs à des comportements troublant l'ordre ou la tranquillité peuvent conduire au prononcé d'une mesure de privation de travail, avec possibilité de se réinscrire, ou d’une suspension temporaire de travail.</w:t>
      </w:r>
    </w:p>
    <w:p>
      <w:r>
        <w:t>En l’espèce, le détenu a déjà fait l’objet d’une sanction consistant en trois jours de cellule forte pour injures envers le personnel en date du 27 juin 2013, puis, le 9 avril 2014, d’une suppression d’emploi couplée avec un jour de cellule forte. Ayant retrouvé un emploi, il a fait l’objet, le 12 août 2014, d’un avertissement et, précisément, d’une suspension temporaire de travail pour trois jours. Il avait été dûment averti à cette occasion qu’en cas de récidive, une suppression de sa place de travail serait envisagée. Dans ces conditions, la suppression d’emploi couplée avec trois jours de cellule forte apparait cohérente tant avec les précédentes sanctions qu’avec l’avertissement dont le détenu a fait l’objet. La situation actuelle de surpopulation de la prison de Champ-Dollon est sans incidence sur l’adéquation de la sanction avec la situation de l’intéressé, compte tenu de ses antécédents. Le principe de la nécessité est respecté.</w:t>
      </w:r>
    </w:p>
    <w:p>
      <w:r>
        <w:t>- 8/10 - A/246/2015</w:t>
      </w:r>
    </w:p>
    <w:p>
      <w:r>
        <w:t>c. Au niveau de la proportionnalité au sens étroit, la balance entre les effets de la suppression du travail sur la situation du détenu et le résultat escompté du point de vue de l’intérêt public implique que ce dernier prime clairement.</w:t>
      </w:r>
    </w:p>
    <w:p>
      <w:r>
        <w:t>d. En conséquence, cette mesure respecte le principe de la proportionnalité dès lors que même sans indication de durée, elle n’est pas illimitée, l’intéressé conservant le droit de s’inscrire à nouveau, de sorte qu’il ne perd pas la possibilité de travailler en atelier (ATA/307/2013 du 14 mai 2013 consid. 8). Elle l’est d’autant plus que le recourant a déjà fait l’objet de sanctions et qu’il avait spécifiquement été averti qu’en cas de récidive, il serait privé de travail. Il ressort par ailleurs du dossier du recourant qu’à la suite de la précédente mesure de suppression de travail, en date du 9 avril 2014, il avait pu retrouver un emploi un mois plus tard, soit le 20 mai 2014. Enfin, le droit d’exercer une activité au sein de la prison implique, en contrepartie, le respect absolu des règles de discipline (ATA/505/2012 du 31 juillet 2012 consid. 4), en particulier le respect du personnel. Le détenu s’était d’ailleurs engagé à respecter ces règles en signant la convention de travail qui rappelait notamment que les détenus travaillant aux ateliers devaient faire preuve, à tout moment, d’une attitude correcte envers le personnel.</w:t>
      </w:r>
    </w:p>
    <w:p>
      <w:r>
        <w:t>Dans ces conditions et compte tenu du pouvoir d’appréciation limité de la chambre administrative (art. 61 al. 2 LPA ; ATA/504/2010 du 3 août 2010), le directeur de la prison n’a ni abusé ni excédé son pouvoir d’appréciation en prononçant une mesure de suppression de travail même couplée à la mise en cellule forte pour trois jours pour refus d’obtempérer et injure envers le personnel.</w:t>
      </w:r>
    </w:p>
    <w:p>
      <w:r>
        <w:t>Le grief de violation du principe de la proportionnalité est infondé. 11)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ATA/171/2015 du</w:t>
      </w:r>
    </w:p>
    <w:p>
      <w:r>
        <w:rPr>
          <w:b/>
        </w:rPr>
        <w:t>E. 17</w:t>
      </w:r>
    </w:p>
    <w:p>
      <w:r>
        <w:t>février 2015 consid. 9c ; ATA/633/2014 du 19 août 2014 consid. 6d ; ATA/439/2014 du 17 juin 2014 consid. 6d ; ATA/126/2007 du 20 mars 2007 consid. 9a).</w:t>
      </w:r>
    </w:p>
    <w:p>
      <w:r>
        <w:t>- 9/10 - A/246/2015</w:t>
      </w:r>
    </w:p>
    <w:p>
      <w:r>
        <w:t>Compte tenu des développements qui précèdent, le grief d’arbitraire est infondé, la décision ne viole ni norme ni principe juridique indiscuté ni ne heurte de manière choquante le sentiment de la justice et de l’équité. 12) Le recours est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