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ATA/293/2009 vom 16. Juni 2009</w:t>
      </w:r>
    </w:p>
    <w:p>
      <w:r>
        <w:t>GE Cour de justice, 2009-06-16, FR</w:t>
      </w:r>
    </w:p>
    <w:p>
      <w:r>
        <w:rPr>
          <w:b/>
        </w:rPr>
        <w:t xml:space="preserve">Quelle: </w:t>
      </w:r>
      <w:r>
        <w:t>https://mcp.opencaselaw.ch/entscheid/ge_gerichte_ATA_293_2009</w:t>
      </w:r>
    </w:p>
    <w:p>
      <w:r>
        <w:t>FR: GE_GERICHTE ATA/293/2009 du 16 juin 2009</w:t>
      </w:r>
    </w:p>
    <w:p>
      <w:r>
        <w:t>IT: GE_GERICHTE ATA/293/2009 del 16 giugno 2009</w:t>
      </w:r>
    </w:p>
    <w:p>
      <w:pPr>
        <w:pStyle w:val="Heading2"/>
      </w:pPr>
      <w:r>
        <w:t>Erwägungen</w:t>
      </w:r>
    </w:p>
    <w:p>
      <w:r>
        <w:rPr>
          <w:b/>
        </w:rPr>
        <w:t>E. 1</w:t>
      </w:r>
    </w:p>
    <w:p>
      <w:r>
        <w:t>Le Tribunal administratif est l’autorité supérieure ordinaire de recours en matière administrative (art. 56A de la loi sur l’organisation judiciaire du 22 novembre 1941 - LOJ - E 2 05).</w:t>
      </w:r>
    </w:p>
    <w:p>
      <w:r>
        <w:rPr>
          <w:b/>
        </w:rPr>
        <w:t>E. 2</w:t>
      </w:r>
    </w:p>
    <w:p>
      <w:r>
        <w:t>La recevabilité du recours doit être examinée d’office. Il convient donc de se pencher sur la qualification juridique du courrier du 2 avril 2009 de la commission.</w:t>
      </w:r>
    </w:p>
    <w:p>
      <w:r>
        <w:t>- 4/5 - A/1294/2009</w:t>
      </w:r>
    </w:p>
    <w:p>
      <w:r>
        <w:rPr>
          <w:b/>
        </w:rPr>
        <w:t>E. 3</w:t>
      </w:r>
    </w:p>
    <w:p>
      <w:r>
        <w:t>Au sens de l’art. 4 al. 1er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(ATA/103/2009 du 3 mars 2009 et les réf. citées ; P. MOOR, Droit administratif, Vol. 2, Berne 2002, p. 214, n. 2.2.3.3 ; B. BOVAY, Procédure administrative, Berne 2000, p. 334-344).</w:t>
      </w:r>
    </w:p>
    <w:p>
      <w:r>
        <w:rPr>
          <w:b/>
        </w:rPr>
        <w:t>E. 4</w:t>
      </w:r>
    </w:p>
    <w:p>
      <w:r>
        <w:t>En l’espèce, la recourante ne vise aucune décision au sens de ce qui précède. La lettre querellée ne répond pas à la définition susmentionnée. Elle ne fait que préciser à la recourante les compétences de la commission d’une part, et lui confirme qu’elle ne délivre pas d’avis de droit ni ne fournit des renseignements d’ordre pratique. Enfin, elle lui indique la manière de procéder si elle entend déposer une plainte entrant dans le cadre de ses compétences.</w:t>
      </w:r>
    </w:p>
    <w:p>
      <w:r>
        <w:t>Il en résulte que la situation juridique de la recourante n’est nullement affectée par le courrier qu’elle met en cause. Aucun recours n’est donc possible contre celui-ci.</w:t>
      </w:r>
    </w:p>
    <w:p>
      <w:r>
        <w:rPr>
          <w:b/>
        </w:rPr>
        <w:t>E. 5</w:t>
      </w:r>
    </w:p>
    <w:p>
      <w:r>
        <w:t>Au vu de ce qui précède, le recours ne peut qu’être déclaré irrecevable. Nonobstant l’issue du litige, aucun émolument ne sera mis à la charge de la recourante (art. 87 LPA). Il ne sera pas davantage alloué d’indemnité.</w:t>
      </w:r>
    </w:p>
    <w:p>
      <w:r>
        <w:t>* * * * *</w:t>
      </w:r>
    </w:p>
    <w:p>
      <w:r>
        <w:t>- 5/5 - A/1294/2009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