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ATA/291/2016 vom 5. April 2016</w:t>
      </w:r>
    </w:p>
    <w:p>
      <w:r>
        <w:t>GE Cour de justice, 2016-04-05, FR</w:t>
      </w:r>
    </w:p>
    <w:p>
      <w:r>
        <w:rPr>
          <w:b/>
        </w:rPr>
        <w:t xml:space="preserve">Quelle: </w:t>
      </w:r>
      <w:r>
        <w:t>https://mcp.opencaselaw.ch/entscheid/ge_gerichte_ATA_291_2016</w:t>
      </w:r>
    </w:p>
    <w:p>
      <w:r>
        <w:t>FR: GE_GERICHTE ATA/291/2016 du 5 avril 2016</w:t>
      </w:r>
    </w:p>
    <w:p>
      <w:r>
        <w:t>IT: GE_GERICHTE ATA/291/2016 del 5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litige fiscal concernant une période antérieure au 1er janvier 2010, se pose la question du droit applicable, la loi fédérale sur l’impôt fédéral direct du 14 décembre 1990 (LIFD - RS 642.11) ne contenant aucune disposition spécifique relative à cette question. De jurisprudence constante, les questions de droit</w:t>
      </w:r>
    </w:p>
    <w:p>
      <w:r>
        <w:t>- 9/16 - A/3224/2013 matériel sont résolues par le droit en vigueur au cours des périodes fiscales litigieuses (arrêts du Tribunal fédéral 2C_663/2014 du 25 avril 2015 consid. 4 ; 2C_476/2014 du 21 novembre 2014 consid. 4.1 ; 2C_416/2013 du 5 novembre 2013 consid. 5.1 non publié in ATF 140 I 68 ; ATA/1019/2015 du 29 septembre 2015 consid. 2a ; ATA/234/2015 du 3 mars 2015 ; ATA/112/2015 du 27 janvier 2015 ; ATA/232/2014 du 8 avril 2014 ). Le rappel d’impôt relevant du droit matériel, le droit applicable obéit aux mêmes règles (arrêts du Tribunal fédéral 2C_663/2014 précité consid. 4 ; 2C_416/2013 précité consid. 5.1 non publié in ATF 140 I 68 ; 2C_620/2012 du 14 février 2013 consid. 3.1 ; ATA/1019/2015 précité consid. 2a ; ATA/369/2015 du 21 avril 2015 ; ATA/307/2014 du 29 avril 2014).</w:t>
      </w:r>
    </w:p>
    <w:p>
      <w:r>
        <w:t>b. Le présent litige porte sur la procédure en rappel et en soustraction d’impôt ouverte en 2012, qui concerne la période fiscale 2008.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w:t>
      </w:r>
    </w:p>
    <w:p>
      <w:r>
        <w:t>c. Les dispositions concernant l’IFD et l’ICC étant identiques, le raisonnement qui suit sera applicable tant pour la taxation IFD que ICC de l'année 2008.</w:t>
      </w:r>
    </w:p>
    <w:p>
      <w:r>
        <w:rPr>
          <w:b/>
        </w:rPr>
        <w:t>E. 3</w:t>
      </w:r>
    </w:p>
    <w:p>
      <w:r>
        <w:t>La recourante, appuyée par l'AFC-CH, conteste l'annulation de ses bordereaux d'amende du 15 mars 2013 par le TAPI, qui a estimé que la condition objective d'une soustraction fiscale était remplie, mais pas la condition subjective, à savoir l'existence d'une faute.</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de la loi fédérale sur l’harmonisation des impôts directs des cantons et des communes du 14 décembre 1990 (LHID - RS 642.14) et 69 LPFisc prévoient une réglementation similaire. Lorsque des obligations de procédure ont été violées ou qu’une soustraction ou une tentative de soustraction d’impôt a été commise au profit d’une personne morale, celle-ci est punie d’une amende (art. 181 al. 1 LIFD ; art. 74 al. 1 LPFisc).</w:t>
      </w:r>
    </w:p>
    <w:p>
      <w:r>
        <w:t>b. La soustraction est punissable aussi bien intentionnellement que par négligence, comme le prévoient expressément les art. 175 LIFD, 56 LHID et 69 LPFisc. En particulier, agit par négligence, au sens de l’art. 12 du code pénal suisse du 21 décembre 1937 (CP - RS 311.0), quiconque, par une imprévoyance coupable, agit sans se rendre compte (négligence inconsciente) ou sans tenir</w:t>
      </w:r>
    </w:p>
    <w:p>
      <w:r>
        <w:t>- 10/16 - A/3224/2013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du 14 juillet 2015 ; ATA/693/2009 du 22 décembre 2009). La négligence implique de porter un jugement sur le comportement de l’auteur, en se demandant ce qu’il aurait pu et dû faire, et non de rechercher ce qu’il avait à l’esprit (ATA/1019/2015 précité consid. 10b ; ATA/724/2015 précité).</w:t>
      </w:r>
    </w:p>
    <w:p>
      <w:r>
        <w:t>c. Selon l’art. 106 al. 3 CP, respectivement applicable par les renvois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w:t>
      </w:r>
    </w:p>
    <w:p>
      <w:r>
        <w:rPr>
          <w:b/>
        </w:rPr>
        <w:t>E. 5</w:t>
      </w:r>
    </w:p>
    <w:p>
      <w:r>
        <w:t>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5ème tiret).</w:t>
      </w:r>
    </w:p>
    <w:p>
      <w:r>
        <w:t>En matière d’ICC, la LHID dispose que l’impôt sur le bénéfice a pour objet l’ensemble du bénéfice net, y compris les charges non justifiées par l’usage commercial portées au débit du compte de résultats (art. 24 al. 1 let. a LHID). L’art. 12 let. h LIPM prévoit quant à lui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 l’art. 12 let. h LIPM est conforme à cette disposition (arrêt du Tribunal fédéral 2C_18/2011 du 31 mai 2011 consid. 5.1 et les références citées).</w:t>
      </w:r>
    </w:p>
    <w:p>
      <w:r>
        <w:t>b. En définissant le bénéfice imposable par renvoi au solde du compte de résultats,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ATA/95/2016 du 2 février 2016 consid. 4 ; Robert DANON, Commentaire Romand,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w:t>
      </w:r>
    </w:p>
    <w:p>
      <w:r>
        <w:t>- 12/16 - A/3224/2013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w:t>
      </w:r>
    </w:p>
    <w:p>
      <w:r>
        <w:rPr>
          <w:b/>
        </w:rPr>
        <w:t>E. 6</w:t>
      </w:r>
    </w:p>
    <w:p>
      <w:r>
        <w:t>a. 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références citées). Il convient ainsi d'examiner si la prestation aurait été accordée dans la même mesure à un tiers étranger à la société, soit si la transaction a respecté le principe de pleine concurrence (« dealing at arm's length » ; ATF 138 II 545 consid. 3.2 ; ATF 138 II 57 consid. 2.2 et les références citées, traduit in RDAF 2012 II p. 299 ; arrêt du Tribunal fédéral 2C_644/2013 du 21 octobre 2013 consid. 3.1).</w:t>
      </w:r>
    </w:p>
    <w:p>
      <w:r>
        <w:t>b.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ATA/474/2014 du 24 juin 2014 consid. 6b).</w:t>
      </w:r>
    </w:p>
    <w:p>
      <w:r>
        <w:t>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2C_1108/2014 du 10 août 2015 consid. 2.3). En conséquence, il n'est pas pertinent que la disproportion d'une prestation soit justifiée par l'intérêt du groupe (ATF 140 II 88 précité consid. 4.1 et les arrêts cités ; ATA/474/2014 précité consid. 4).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w:t>
      </w:r>
    </w:p>
    <w:p>
      <w:r>
        <w:rPr>
          <w:b/>
        </w:rPr>
        <w:t>E. 7</w:t>
      </w:r>
    </w:p>
    <w:p>
      <w:r>
        <w:t>Aucune norme ne consacre expressément l'obligation pour une société anonyme de ne comptabiliser comme charges, dans son compte de résultats, que celles qui concernent ladite société elle-même, et non une entité tierce. Une telle obligation tombe néanmoins sous le sens, et résulte de diverses règles, notamment comptables (principes de la sincérité du bilan et du compte de résultats, art. 959</w:t>
      </w:r>
    </w:p>
    <w:p>
      <w:r>
        <w:t>- 13/16 - A/3224/2013 al. 1 et 959b al. 1 de la loi fédérale complétant le Code civil suisse du 30 mars 1911 - Livre cinquième : Droit des obligations - CO - RS 220).</w:t>
      </w:r>
    </w:p>
    <w:p>
      <w:r>
        <w:t>Le Tribunal fédéral a ainsi jugé qu'une soustraction fiscale est commise dès qu'il y a irrégularité dans la comptabilité, et qu'il y a violation des règles de droit commercial prévues aux art. 957 ss CO (ainsi qu'aux art. 662 ss CO pour les sociétés anonymes), notamment du principe de sincérité de l'art. 959 CO, lorsque la société comptabilise une charge étrangère à son activité (art. 135 II 86 consid. 3.1 ; arrêt du Tribunal fédéral 2C_589/2013 du 17 janvier 2014 consid. 7.4).</w:t>
      </w:r>
    </w:p>
    <w:p>
      <w:r>
        <w:rPr>
          <w:b/>
        </w:rPr>
        <w:t>E. 8</w:t>
      </w:r>
    </w:p>
    <w:p>
      <w:r>
        <w:t>En l'espèce, A______ Holdings a facturé à plusieurs de ses sociétés-filles des prestations de service et de gestion, et en particulier à ce titre un montant de CHF 14'613'871.- à A______ pour l'année 2008.</w:t>
      </w:r>
    </w:p>
    <w:p>
      <w:r>
        <w:t>L'AFC-GE a par la suite découvert qu'une partie de ces prestations ne concernaient en fait pas A______, mais uniquement l'administration de A______ Holdings. Celle-ci a du reste reconnu, dans son courrier du 10 décembre 2010 à l'AFC-GE, que sur ce montant refacturé, il apparaissait effectivement qu'une partie concernait des charges de fonctionnement de la société holding elle-même, qui ne devait dès lors pas faire l'objet d'une refacturation aux filiales.</w:t>
      </w:r>
    </w:p>
    <w:p>
      <w:r>
        <w:t>Dès lors, quand bien même cette partie a été déterminée de manière forfaitaire et sous forme de pourcentage de chaque catégorie de frais, il ne s'agit pas d'une question d'évaluation des prix de transfert – soit celle de savoir si les prix des prestations en soi justifiées sont ou non trop élevés au regard de la prestation fournie – mais de comptabilisation de charges étrangères à l'activité de l'entreprise, les prestations délivrées ne correspondant pas – contrairement à ce qu'allègue A______ dans sa dernière écriture – à des activités de tutelle.</w:t>
      </w:r>
    </w:p>
    <w:p>
      <w:r>
        <w:t>Conformément à la jurisprudence citée au considérant qui précède, il y a bien eu violation des règles de droit commercial impératif et donc, d'un point de vue objectif, soustraction fiscale en ce qui concerne les montants repris – les deux sociétés, bien qu'appartenant au même groupe, restant indépendantes l'une de l'autre en droit fiscal suisse.</w:t>
      </w:r>
    </w:p>
    <w:p>
      <w:r>
        <w:rPr>
          <w:b/>
        </w:rPr>
        <w:t>E. 9</w:t>
      </w:r>
    </w:p>
    <w:p>
      <w:r>
        <w:t>S'agissant de la condition subjective, le TAPI a retenu qu'aucune faute ne pouvait être imputée à A______ ni à M. D______, la première ne pouvant pas savoir que A______ Holdings lui avait refacturé l'entier de ses frais de gestion, et que rien n'indiquait que M. D______ savait, devait savoir ou ne pouvait ignorer, dans le cas concret, que tel était le cas et que A______ Holdings avait effectivement refacturé à la recourante des charges de fonctionnement qui lui étaient propres.</w:t>
      </w:r>
    </w:p>
    <w:p>
      <w:r>
        <w:rPr>
          <w:b/>
        </w:rPr>
        <w:t>E. 10</w:t>
      </w:r>
    </w:p>
    <w:p>
      <w:r>
        <w:t>Ce raisonnement ne peut être suivi.</w:t>
      </w:r>
    </w:p>
    <w:p>
      <w:r>
        <w:t>- 14/16 - A/3224/2013</w:t>
      </w:r>
    </w:p>
    <w:p>
      <w:r>
        <w:t>Comme le relève la recourante, M. D______, qui était directeur financier du groupe et a signé la déclaration fiscale tant de A______ que de A______ Holdings, était – point qui n'est pas en soi-même contesté par A______ – organe de fait de ces deux sociétés (et par ailleurs organe de droit de C______ en sa qualité d'administrateur-président de celle-ci), et en maîtrisait, vu sa fonction, les processus financiers et les comptes. Il connaissait également les règles comptables applicables. En l'espèce, la disproportion entre la prestation et la contre-prestation, condition nécessaire à l'existence d'une prestation appréciable en argent au sens de la jurisprudence, était d'autant plus évidente que pour une part des frais refacturés à A______, il n'y avait tout simplement pas de contre-prestation, cette part des frais ne la concernant pas et ne devant pas lui être facturée. M. D______ ne pouvait ainsi ignorer quels frais de A______ Holdings étaient refacturés à A______. Dans ces conditions, c'est bien au minimum par négligence que la déclaration fiscale 2008 de A______ fait état de charges trop élevées, et était donc non conforme à la réalité.</w:t>
      </w:r>
    </w:p>
    <w:p>
      <w:r>
        <w:rPr>
          <w:b/>
        </w:rPr>
        <w:t>E. 11</w:t>
      </w:r>
    </w:p>
    <w:p>
      <w:r>
        <w:t>Quant à la quotité de l'amende, l'AFC-GE a retenu la négligence – sans préciser si elle considérait que celle-ci était ou non consciente – et a ainsi réduit l'amende à la moitié du montant d'impôt soustrait, soit une quotité voisine du montant minimum qui est, comme déjà précisé, d'un tiers de l'impôt soustrait. Elle a également tenu compte d'autres facteurs : à décharge, la bonne collaboration de la société contribuable, et à charge l'aspect répétitif (sur plusieurs années) de la soustraction et le montant important d'impôt soustrait.</w:t>
      </w:r>
    </w:p>
    <w:p>
      <w:r>
        <w:t>Ces différents éléments ne consacrent aucun abus du pouvoir d'appréciation. Non seulement la négligence en cause doit plutôt être, au vu de ce qui précède, qualifiée de consciente, mais il n'existe aucun principe voulant qu'une négligence inconsciente ait nécessairement pour conséquence une réduction de l'amende à son minimum ; bien plutôt, c'est l'ensemble des aspects du cas qui doit être pris en compte. En l'occurrence, la répétition de la soustraction sur plusieurs années et l'importance des montants en jeu sont des éléments aggravants qui ne permettent pas de ramener la quotité de l'amende au minimum légal. Le montant de cette dernière ne saurait dès lors être qualifié de disproportionné.</w:t>
      </w:r>
    </w:p>
    <w:p>
      <w:r>
        <w:rPr>
          <w:b/>
        </w:rPr>
        <w:t>E. 12</w:t>
      </w:r>
    </w:p>
    <w:p>
      <w:r>
        <w:t>Il découle de ce qui précède que le recours, bien fondé, sera admis, le jugement du TAPI annulé et les bordereaux d'amende rétablis.</w:t>
      </w:r>
    </w:p>
    <w:p>
      <w:r>
        <w:rPr>
          <w:b/>
        </w:rPr>
        <w:t>E. 13</w:t>
      </w:r>
    </w:p>
    <w:p>
      <w:r>
        <w:t>Vu l'issue du litige, un émolument de CHF 1'500.- sera mis à la charge de A______, qui succombe (art. 87 al. 1 LPA), et aucune indemnité de procédure ne sera allouée (art. 87 al. 2 LPA), l'AFC-GE et l'AFC-CH étant des administrations disposant de leur propre service juridique.</w:t>
      </w:r>
    </w:p>
    <w:p>
      <w:r>
        <w:t>* * * * *</w:t>
      </w:r>
    </w:p>
    <w:p>
      <w:r>
        <w:t>- 15/16 - A/3224/2013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