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ATA/291/2014 vom 29. April 2014</w:t>
      </w:r>
    </w:p>
    <w:p>
      <w:r>
        <w:t>GE Cour de justice, 2014-04-29, FR</w:t>
      </w:r>
    </w:p>
    <w:p>
      <w:r>
        <w:rPr>
          <w:b/>
        </w:rPr>
        <w:t xml:space="preserve">Quelle: </w:t>
      </w:r>
      <w:r>
        <w:t>https://mcp.opencaselaw.ch/entscheid/ge_gerichte_ATA_291_2014</w:t>
      </w:r>
    </w:p>
    <w:p>
      <w:r>
        <w:t>FR: GE_GERICHTE ATA/291/2014 du 29 avril 2014</w:t>
      </w:r>
    </w:p>
    <w:p>
      <w:r>
        <w:t>IT: GE_GERICHTE ATA/291/2014 del 29 aprile 2014</w:t>
      </w:r>
    </w:p>
    <w:p>
      <w:pPr>
        <w:pStyle w:val="Heading2"/>
      </w:pPr>
      <w:r>
        <w:t>Regeste</w:t>
      </w:r>
    </w:p>
    <w:p>
      <w:r>
        <w:t>Résumé: Examen et confirmation d'une décision d'exclusion sous l'angle de l'interdiction du formalisme excessif. Le soumissionnaire n'a pas produit une attestation requise, ni fournit d'explications quant à l'absence de ce document, ni une autre attestation valant moyen de preuve équivalent dans le délai de dépôt de l'appel des offres.</w:t>
      </w:r>
    </w:p>
    <w:p>
      <w:pPr>
        <w:pStyle w:val="Heading2"/>
      </w:pPr>
      <w:r>
        <w:t>Erwägungen</w:t>
      </w:r>
    </w:p>
    <w:p>
      <w:r>
        <w:rPr>
          <w:b/>
        </w:rPr>
        <w:t>E. 15</w:t>
      </w:r>
    </w:p>
    <w:p>
      <w:r>
        <w:t>mars 2011). 4) a. Dans les conditions pour être admis à soumissionner énumérées à l’art. 32 RPM, figure une attestation de l’autorité fiscale compétente justifiant que le soumissionnaire s’est acquitté de ses obligations en matière d’impôt à la source (art. 32 al. 1 let. c RPM). Si le soumissionnaire prouve que les documents exigés par l’autorité adjudicatrice n’existent pas à son siège, des moyens de preuve équivalents peuvent être acceptés (art. 32 al. 4 RPM).</w:t>
      </w:r>
    </w:p>
    <w:p>
      <w:r>
        <w:t>b. L’offre est écartée d’office lorsque le soumissionnaire a rendu une offre tardive, incomplète ou non conforme aux exigences ou au cahier des charges (art. 42 al. 1 let. a RPM). Les offres écartées ne sont pas évaluées. L’autorité adjudicatrice rend une décision d’exclusion motivée, notifiée par courrier à l’intéressé, avec mention des voies de recours (art. 42 al. 3 RPM). 5)</w:t>
      </w:r>
    </w:p>
    <w:p>
      <w:r>
        <w:t>Le droit des marchés publics est formaliste, comme la chambre de céans l’a déjà rappelé à plusieurs reprises (ATA/129/2014 du 4 mars 2014 ; ATA/271/2012 du 8 mai 2012 ; ATA/535/2011 du 30 août 2011 ; ATA/10/2009 du 13 janvier 2009 ; ATA/95/2008 du 4 mars 2008 ; ATA/79/2008 du 19 février 2008 ; ATA/250/2006 du 9 mai 2006 ; ATA/150/2006 du 14 mars 2006) et c’est dans le</w:t>
      </w:r>
    </w:p>
    <w:p>
      <w:r>
        <w:t>- 10/13 - A/420/2013 respect de ce formalisme que l’autorité adjudicatrice doit procéder à l’examen de la recevabilité des offres et à leur évaluation.</w:t>
      </w:r>
    </w:p>
    <w:p>
      <w:r>
        <w:t>L’interdiction du formalisme excessif, tirée de la garantie à un traitement équitable des administrés énoncée à l’art. 29 de la Constitution fédérale de la Confédération suisse du 18 avril 1999 (Cst. - RS 101), ne permet pas d’exclure une offre présentant une informalité de peu de gravité. C’est dans ce sens que des erreurs de calculs et d’écritures peuvent être rectifiées (art. 39 al. 2 RMP) et que des explications peuvent être demandées aux soumissionnaires relatives à leurs aptitudes et à leurs offres (art. 40 et 41 RMP). Le principe d’intangibilité des offres remises et le respect du principe d’égalité de traitement entre soumissionnaires impliquent de ne procéder à ce type de questionnement que de manière restrictive, et seulement lorsque l’offre est, au demeurant, conforme aux conditions de l’appel d’offres (Jean-Baptiste ZUFFEREY/Corinne MAILLARD/ Nicolas MICHEL, Droit des marchés publics, 2002, p. 110 ; Olivier RODONDI, La gestion de la procédure de soumission, cité ci-après : La gestion, in Jean-Baptiste ZUFFEREY/Hubert STOECKLI [éd.], Marchés publics 2008, p. 185 ss).</w:t>
      </w:r>
    </w:p>
    <w:p>
      <w:r>
        <w:t>A cet égard, même les auteurs qui préconisent une certaine souplesse dans le traitement des informalités admettent que l’autorité adjudicatrice dispose d’un certain pouvoir d’appréciation quant au degré de sévérité dont elle désire faire preuve dans le traitement des offres, pour autant qu’elle applique la même rigueur, respectivement la même flexibilité, à l’égard des différents soumissionnaires (Olivier RODONDI, Les délais en droit des marchés publics, RDAF 2007 I p. 187 et 289).</w:t>
      </w:r>
    </w:p>
    <w:p>
      <w:r>
        <w:t>Les principes précités valent également pour la phase d’examen de la recevabilité des soumissions (Olivier RODONDI, La gestion, p. 186). Lors de celle-ci, l’autorité adjudicatrice doit examiner si les offres présentées remplissent les conditions formelles pour participer à la procédure d’évaluation proprement dite et il est exclu d’autoriser un soumissionnaire à modifier la présentation de son offre, à y apporter des compléments ou à transmettre de nouveaux documents. En outre, en matière d’attestations, l’autorité adjudicatrice peut attendre d’un soumissionnaire qu’il présente les documents requis, rédigés d’une manière qui permette de déterminer, sans recherche complémentaire, interprétation ou extrapolation, s’il remplit les conditions d’aptitude ou d’offre conformes aux exigences du cahier des charges (ATA/102/2010 du 16 février 2010, confirmé par Arrêts du Tribunal fédéral 2C_197/2010 et 2C_198/2010 du 30 avril 2010).</w:t>
      </w:r>
    </w:p>
    <w:p>
      <w:r>
        <w:t>La chambre de céans s’est toujours montrée stricte dans ce domaine, (ATA/102/2010 et ATA/150/2006 précités), ce que le Tribunal fédéral a constaté mais confirmé (Arrêts du Tribunal fédéral 2C_197 et 2C_198/2010 précités), la doctrine étant plus critique à cet égard (O. RODONDI, La gestion, p. 186). Notamment dans une espèce où le soumissionnaire avait remis dans son offre une</w:t>
      </w:r>
    </w:p>
    <w:p>
      <w:r>
        <w:t>- 11/13 - A/420/2013 attestation sur laquelle figurait la raison sociale d’une autre entreprise, sans autres explications quant aux rapports de groupe qui liait l’entreprise à la société holding figurant sur l’attestation, la chambre de céans avait confirmé la décision d’exclusion (ATA/102/2010 précité confirmé par les arrêts du Tribunal fédéral 2C_197 et 2C_198/2010 précités). 6)</w:t>
      </w:r>
    </w:p>
    <w:p>
      <w:r>
        <w:t>En l’espèce, l’attestation du paiement de l’impôt à la source exigée ne figurait pas dans l’offre de la recourante, ce qui n’est pas contesté. Ne figuraient pas non plus d’explications quant à l’absence de ce document, ni une autre attestation valant moyen de preuve équivalent, au sens de l’art. 32 al. 4 RPM, celles-ci ayant été fournies après le délai de dépôt des offres. La recourante n’a pas non plus profité de la possibilité offerte de poser une question à l’autorité adjudicatrice, conformément à la procédure prévue dans le cahier d’appel d’offres (point 5 d de l’appel d’offres).</w:t>
      </w:r>
    </w:p>
    <w:p>
      <w:r>
        <w:t>Au vu de ce qui précède, la chambre administrative n’a aucune raison de s’écarter de sa jurisprudence antérieure. La recourante n’a pas produit l’attestation requise, sans donner d’explication ni fournir d’alternative au jour de l’ouverture des offres. L’autorité adjudicatrice était donc en droit d’écarter d’emblée son offre, en application des art. 32 et 42 RPM. En particulier, rien ne vient soutenir la thèse de la recourante quant à l’existence d’un délai différent pour le dépôt des « moyens de preuve équivalents » de l’art. 32 al. 4 RPM. A cet égard, le fait que la réglementation valaisanne et a fortiori la jurisprudence de ce canton soient différentes n’est pas susceptible de modifier cette constatation.</w:t>
      </w:r>
    </w:p>
    <w:p>
      <w:r>
        <w:t>En conséquence, le recours sera rejeté. 7)</w:t>
      </w:r>
    </w:p>
    <w:p>
      <w:r>
        <w:t>Vu l’issue du litige, un émolument de CHF 2’000.- sera mis à la charge de la recourante (art. 87 al. 1 LPA). Une indemnité de procédure de CHF 1’000.- sera allouée à Art Dem Movers SA ainsi qu’à M. Ducret SA, qui y ont conclu et sont représentées par un avocat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