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ATA/28/2020 vom 14. Januar 2020</w:t>
      </w:r>
    </w:p>
    <w:p>
      <w:r>
        <w:t>GE Cour de justice, 2020-01-14, FR</w:t>
      </w:r>
    </w:p>
    <w:p>
      <w:r>
        <w:rPr>
          <w:b/>
        </w:rPr>
        <w:t xml:space="preserve">Quelle: </w:t>
      </w:r>
      <w:r>
        <w:t>https://mcp.opencaselaw.ch/entscheid/ge_gerichte_ATA_28_2020</w:t>
      </w:r>
    </w:p>
    <w:p>
      <w:r>
        <w:t>FR: GE_GERICHTE ATA/28/2020 du 14 janvier 2020</w:t>
      </w:r>
    </w:p>
    <w:p>
      <w:r>
        <w:t>IT: GE_GERICHTE ATA/28/2020 del 14 gennaio 2020</w:t>
      </w:r>
    </w:p>
    <w:p>
      <w:pPr>
        <w:pStyle w:val="Heading2"/>
      </w:pPr>
      <w:r>
        <w:t>Erwägungen</w:t>
      </w:r>
    </w:p>
    <w:p>
      <w:r>
        <w:rPr>
          <w:b/>
        </w:rPr>
        <w:t>E. 12</w:t>
      </w:r>
    </w:p>
    <w:p>
      <w:r>
        <w:t>septembre 1985 - LPA - E 5 10). 2)</w:t>
      </w:r>
    </w:p>
    <w:p>
      <w:r>
        <w:t>Le litige porte sur la conformité au droit d’une décision de retrait d’un permis de conduire pendant une durée de quatre mois pour conduite en état d’ébriété avec un taux d’alcoolémie qualifié de 0.65 mg/l (1,3 g ‰), déduction faite de la période déjà subie. 3) a. L'Assemblée fédérale fixe dans une ordonnance le taux d'alcool à partir duquel les conducteurs sont réputés être dans l'incapacité de conduire au sens de la présente loi, soit en état d'ébriété, indépendamment de toute autre preuve et du degré de tolérance individuelle à l'alcool ; elle définit le taux d'alcool qualifié (art. 55 al. 6 LCR).</w:t>
      </w:r>
    </w:p>
    <w:p>
      <w:r>
        <w:t>Aux termes de l'art. 1 de Ordonnance de l’Assemblée fédérale concernant les taux limites d’alcool admis en matière de circulation routière du 15 juin 2012 (RS 741.13), un conducteur est réputé incapable de conduire pour cause d’alcool (état d’ébriété) lorsqu’il présente un taux d’alcool dans le sang de 0,5 gramme pour mille ou plus (let. a) ; un taux d’alcool dans l’haleine de 0,25 milligramme ou plus par litre d’air expiré (let. b) ; une quantité d’alcool dans l’organisme entraînant le taux d’alcool dans le sang fixé à la let. a (let. c). Sont considérés comme qualifiés un taux d’alcool dans le sang de 0.8 gramme pour mille ou plus (art. 2 let. a) ; un taux d’alcool dans l’haleine de 0.4 milligramme ou plus par litre d’air expiré (art. 2 let. b).</w:t>
      </w:r>
    </w:p>
    <w:p>
      <w:r>
        <w:t>b. En l’occurrence, il est établi, et le recourant ne semble plus le contester, qu’il a conduit un véhicule automobile en état d’ébriété avec un taux d’alcoolémie</w:t>
      </w:r>
    </w:p>
    <w:p>
      <w:r>
        <w:t>- 7/12 - A/4553/2017 de 0.65 mg/l, largement au-dessus du seuil de 0.4 mg/l à partir duquel celui-ci est défini comme qualifié. 4)</w:t>
      </w:r>
    </w:p>
    <w:p>
      <w:r>
        <w:t>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LCR). 5)</w:t>
      </w:r>
    </w:p>
    <w:p>
      <w:r>
        <w:t>Depuis le 1er janvier 2005, les infractions à la LCR ont été réparties en fonction de leur gravité en trois catégories distinctes, assorties de mesures administratives minimales (ATA/479/2014 du 24 juin 2014 ; ATA/552/2012 du 21 août 2012).</w:t>
      </w:r>
    </w:p>
    <w:p>
      <w:r>
        <w:t>a. Commet une infraction grave la personne qui notamment conduit un véhicule automobile en état d'ébriété et présente un taux d'alcool qualifié (art. 16c al. 1 let. b LCR cum art. 55 al. 6 LCR).</w:t>
      </w:r>
    </w:p>
    <w:p>
      <w:r>
        <w:t>b. En l’espèce, le recourant a conduit un véhicule automobile en état d’ébriété à un taux de 0.65 mg/l. Ce comportement est constitutif d’une infraction grave au sens de l'art. 16c al. 1 let. b LCR. 6)</w:t>
      </w:r>
    </w:p>
    <w:p>
      <w:r>
        <w:t>Le recourant reproche au TAPI d’avoir confirmé la durée de quatre mois du retrait de son permis de conduire qu’il considère comme disproportionnée. 7) a. Après une infraction grave, le permis d'élève conducteur ou le permis de conduire est retiré pour trois mois au minimum (art. 16c al. 2 let. a LCR). Les circonstances concrètes doivent être prises en considération pour fixer la durée de la mesure, notamment l'atteinte à la sécurité routière, la gravité de la faute, les antécédents en tant que conducteur ainsi que la nécessité professionnelle de conduire un véhicule automobile (art. 16 al. 3 LCR ; ATF 105 Ib 205 consid. 2a ; André BUSSY et al. [éd.], Code suisse de la circulation routière commenté, 4ème éd., 2015, p. 235). L'autorité qui retire un permis en cas d'ivresse doit procéder à un examen global du cas. Elle ne doit pas se fonder exclusivement sur le degré d'alcoolémie (ATA/241/2016 du 15 mars 2016 et les références citées), même si ce critère doit être considéré de manière prépondérante dans la fixation de la durée de la mesure (arrêt du Tribunal fédéral 1C_135/2008 du 13 août 2008 consid. 3.2.2 ; cité in André BUSSY et al. [éd.], op. cit., p. 271).</w:t>
      </w:r>
    </w:p>
    <w:p>
      <w:r>
        <w:t>b. Le dépassement du seuil de 0,8 g ‰ du taux d’alcoolémie peut justifier en soi une aggravation de la sanction minimale (arrêt du Tribunal fédéral 1C_288/2008 du 14 mai 2009 consid. 3.2 ; ATA/445/2008 précité ; ATA/335/2008 précité ; ATA/387/2007 du 7 août 2007). Ainsi, dans un arrêt (ATA/837/2014 du 28 octobre 2014), la chambre de céans a considéré que pour un automobiliste qui au moment des faits n’avait pas d'antécédents, mais présentait un taux d’alcoolémie de 1,33 g ‰ au moment critique, l'appréciation</w:t>
      </w:r>
    </w:p>
    <w:p>
      <w:r>
        <w:t>- 8/12 - A/4553/2017 que le SCV avait faite de la situation et la conclusion à laquelle il était parvenu, le retrait du permis de conduire du recourant pour une durée de trois mois, sous déduction de la période déjà subie, tout comme sa confirmation par le TAPI, ne souffraient aucune critique et étaient de surcroît très généreux.</w:t>
      </w:r>
    </w:p>
    <w:p>
      <w:r>
        <w:t>c. En l’occurrence, le taux d’alcoolémie du recourant au moment critique était de 0.65 mg/l, soit un peu moins du double du seuil du taux qualifié de 0,4 mg/l. ce qui représente 1,3 g ‰. Ce taux doit être considéré comme un élément prépondérant dans la fixation de la durée de la mesure et justifie, selon la jurisprudence précitée, de s’éloigner de la limite minimale du retrait du permis de conduire en cas d’infraction grave. En confirmant, sur ce point, la mesure contestée de quatre mois, l’autorité intimée n’a pas abusé de son large pouvoir d’appréciation. Le TAPI était fondé à confirmer la décision.</w:t>
      </w:r>
    </w:p>
    <w:p>
      <w:r>
        <w:t>Le grief du recourant sera dès lors écarté. 8)</w:t>
      </w:r>
    </w:p>
    <w:p>
      <w:r>
        <w:t>Le recourant reproche au TAPI d’avoir retenu l’infraction de perte de maitrise du véhicule, pourtant considérée comme absorbée par la conduite en état d’ébriété dans le jugement du Tribunal de police.</w:t>
      </w:r>
    </w:p>
    <w:p>
      <w:r>
        <w:t>Cet élément est sans pertinence au vu du considérant qui précède, la seule conduite en état d’ébriété au taux présenté par le recourant pouvant justifier un retrait de permis d’une durée de quatre mois. 9)</w:t>
      </w:r>
    </w:p>
    <w:p>
      <w:r>
        <w:t>Le recourant reproche également au TAPI d’avoir nié ses besoins professionnels. 10) a. Le juge administratif doit examiner la situation professionnelle de l'intéressé et déterminer si la mesure dont il est susceptible de faire l'objet serait, compte tenu des besoins professionnels, particulièrement rigoureuse (ATF 123 II 572 consid. 2c p. 575-576 ; ATA/58/2007 du 6 février 2007 ; ATA/5/2007 du 9 janvier 2007).</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w:t>
      </w:r>
    </w:p>
    <w:p>
      <w:r>
        <w:t>- 9/12 - A/4553/2017 permet pas cependant, à elle seule, de décider si et dans quelle mesure une réduction se justifie. Une telle question doit être tranchée au regard de toutes les circonstances du cas (ATF 128 II 285 consid. 2.4 p. 290; 123 II 572 consid. 2c p. 574 ; arrêt du Tribunal fédéral 1C_204/2008 du 25 novembre 2008 consid. 3.3.1).</w:t>
      </w:r>
    </w:p>
    <w:p>
      <w:r>
        <w:t>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1C_63/2007 du 24 septembre 2007 consid. 4.5 ; 6A.24/2005 du 24 juin 2005 consid. 3).</w:t>
      </w:r>
    </w:p>
    <w:p>
      <w:r>
        <w:t>b.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(ATA/5/2007 précité ; ATA/39/2006 du 24 janvier 2006).</w:t>
      </w:r>
    </w:p>
    <w:p>
      <w:r>
        <w:t>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(ATA/17/2001 du 9 janvier 2001 ; ATA/660/1997 du 23 octobre 1997). Un aide-monteur électricien effectuant de petits travaux chez des particuliers ne pouvait pas non plus se prévaloir de besoins professionnels déterminants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(ATA/5/2007 précité ; ATA/119/1999 du 9 février 1999). Un réparateur dans le domaine des élévateurs électriques ou un boulanger dans une petite entreprise familiale pouvait également se prévaloir de besoins professionnels importants (ATA/659/1997 du 23 octobre 1997 ; ATA/656/1997 du 23 octobre 1997 ; ATA/265/1997 du 22 avril 1997 ; ATA/620/1995 du</w:t>
      </w:r>
    </w:p>
    <w:p>
      <w:r>
        <w:t>- 10/12 - A/4553/2017 7 novembre 1995). S'agissant d'un réparateur de brûleurs à mazout qui doit transporter du matériel, ses besoins professionnels ne sont pas déterminants au sens strict, ils sont néanmoins importants (ATA/659/1997 précité). 11) En l’espèce, le recourant allègue qu’il lui est indispensable de pouvoir conserver son permis de conduire compte tenu de sa société, dont il est l’administrateur et le seul employé. Il a produit une attestation du comptable de la société selon laquelle la perte, par le recourant, de son permis de conduire, remettrait en question la survie de la société. Il ressort toutefois du registre du commerce que le but de la société consiste en la « gérance et prise de participations dans des sociétés commerciales et industrielles, services et consulting en tout genre ainsi que négoce de pierres précieuses (cf. statuts pour but complet) ». Le recourant ne précise pas comment ce but se verrait entravé par la perte de son permis de conduire. Il ne fournit aucune indication concrète sur les lieux de ses déplacements en Suisse ou à l’étranger ainsi que sur la fréquence de ceux-ci. Il n’indique pas non plus en quoi le suivi de chantiers à Genève et dans le canton de Vaud ainsi que son activité de suivi de rénovation d’appartements ne pourrait plus s’effectuer en cas de retrait de permis de conduire. Il ne démontre ainsi pas qu'il se trouverait dans l'impossibilité d’effectuer les transports nécessaires auxdits contrôles au moyen des transports publics ou avec l'aide d’un tiers qui pourrait le véhiculer.</w:t>
      </w:r>
    </w:p>
    <w:p>
      <w:r>
        <w:t>Dans ces circonstances, les besoins professionnels du recourant ne sont pas pertinents au sens de la jurisprudence précitée. L’intéressé ne justifie pas un besoin accru d'un véhicule pour l'exercice de ses activités professionnelles. Il verra certes l’organisation de son travail compliquée par le fait qu’il ne pourra conduire d’autres véhicules que ceux des catégories spéciales G et M. Toutefois, il ne saurait soutenir que l’accomplissement même des tâches de sa société est rendu impossible par la mesure qu’il conteste. Il n’y a donc pas lieu de tenir compte de ses besoins professionnels et de revoir la mesure du retrait du permis de conduire de quatre mois, déduction faite de la période déjà subie.</w:t>
      </w:r>
    </w:p>
    <w:p>
      <w:r>
        <w:t>Le grief du recourant sera dès lors écarté. 12) Le recourant reproche au TAPI de na pas avoir tenu compte des circonstances concrètes.</w:t>
      </w:r>
    </w:p>
    <w:p>
      <w:r>
        <w:t>La courte distance sur laquelle il aurait conduit ne permet pas d’infléchir la durée du retrait compte tenu du taux d’alcool présenté. Ainsi, le Tribunal fédéral a confirmé un retrait supérieur au minimum légal pour une ivresse de 1,56 g ‰ réalisée sur quelques mètres sur un parking (arrêt du Tribunal fédéral 1C_288/2008 précité consid. 3.2 cité in André BUSSY et al. [éd.], op. cit., p. 271). L’ancienneté des faits ne peut être retenue, s’agissant d’un accident de 2016 et de la durée de la procédure pénale. Le seul taux d’alcool justifie la durée</w:t>
      </w:r>
    </w:p>
    <w:p>
      <w:r>
        <w:t>- 11/12 - A/4553/2017 de quatre mois. En conséquence, si les antécédents n’ont pas influé sur une prolongation de la durée, ils ne peuvent servir à la raccourcir. 13) Le recourant conclut subsidiairement à une interdiction de conduire en Suisse de six mois depuis le 15 juillet 2013 (sic).</w:t>
      </w:r>
    </w:p>
    <w:p>
      <w:r>
        <w:t>Aucune motivation n’appuie cette conclusion. Le TAPI ne l’a pas traitée, ce dont le recourant ne lui a pas fait grief. La date est antérieure de trois ans aux faits pertinents dans le présent litige. Cette conclusion semble résulter d’une erreur de plume, ce que sa formulation devant le TAPI confirmerait, référence étant faite à une tierce personne sans lien avec le présent dossier. Elle est en conséquence rejetée.</w:t>
      </w:r>
    </w:p>
    <w:p>
      <w:r>
        <w:t>Ce qui précède conduit au rejet du recours. 14) Compte tenu de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