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ATA/288/2020 vom 10. März 2020</w:t>
      </w:r>
    </w:p>
    <w:p>
      <w:r>
        <w:t>GE Cour de justice, 2020-03-10, FR</w:t>
      </w:r>
    </w:p>
    <w:p>
      <w:r>
        <w:rPr>
          <w:b/>
        </w:rPr>
        <w:t xml:space="preserve">Quelle: </w:t>
      </w:r>
      <w:r>
        <w:t>https://mcp.opencaselaw.ch/entscheid/ge_gerichte_ATA_288_2020</w:t>
      </w:r>
    </w:p>
    <w:p>
      <w:r>
        <w:t>FR: GE_GERICHTE ATA/288/2020 du 10 mars 2020</w:t>
      </w:r>
    </w:p>
    <w:p>
      <w:r>
        <w:t>IT: GE_GERICHTE ATA/288/2020 del 10 marzo 2020</w:t>
      </w:r>
    </w:p>
    <w:p>
      <w:pPr>
        <w:pStyle w:val="Heading2"/>
      </w:pPr>
      <w:r>
        <w:t>Erwägungen</w:t>
      </w:r>
    </w:p>
    <w:p>
      <w:r>
        <w:rPr>
          <w:b/>
        </w:rPr>
        <w:t>E. 12</w:t>
      </w:r>
    </w:p>
    <w:p>
      <w:r>
        <w:t>septembre 1985 - LPA - E 5 10). 2)</w:t>
      </w:r>
    </w:p>
    <w:p>
      <w:r>
        <w:t>Le litige concerne l’impôt à la source payé par la recourante pour les périodes fiscale 2015 à 2017. Sont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w:t>
      </w:r>
    </w:p>
    <w:p>
      <w:r>
        <w:rPr>
          <w:b/>
        </w:rPr>
        <w:t>E. 14</w:t>
      </w:r>
    </w:p>
    <w:p>
      <w:r>
        <w:t>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w:t>
      </w:r>
    </w:p>
    <w:p>
      <w:r>
        <w:t>- 7/11 - A/3966/2018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4ème éd., 2012, p. 289-290 n. 2).</w:t>
      </w:r>
    </w:p>
    <w:p>
      <w:r>
        <w:t>b. Le système d’imposition à la source a pour fonction de se substituer à l’ICC et à l’IFD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 Yves NOËL [éd]., Impôt fédéral direct, Commentaire de la loi sur l'impôt fédéral direct, 2008, p. 1004 n. 2 ; Ernst BLUMENSTEIN/Peter LOCHER, System des Steuerrechts, 6ème éd., p. 77 ; Xavier OBERSON, op. cit., p. 290 n. 3). Malgré cette substitution, le contribuable conserve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 4) a. Pour l'IFD, l’administration fédérale des contributions (ci-après : AFC-CH) établit le barème des retenues d’après les taux de l’impôt sur le revenu des personnes physiques (art. 85 al. 1 LIFD). En accord avec l’autorité cantonale, elle fixe, en outre, les taux qui doivent être incorporés dans le barème cantonal au titre de l’impôt fédéral direct (art. 85 al. 2 LIFD).</w:t>
      </w:r>
    </w:p>
    <w:p>
      <w:r>
        <w:t>Le barème tient compte des frais professionnels (art. 26 LIFFD) et des primes et cotisations d’assurances (art. 33 al. 1 let. d, f et g LIFD) sous forme de forfait, ainsi que des charges de famille du contribuable (art. 35, 36 et 86 al. 1 LIFD). Les retenues opérées sur le revenu des époux vivant en ménage commun qui exercent tous deux une activité lucrative sont calculées selon des barèmes qui tiennent compte du cumul des revenus des conjoints (art. 9 al. 1 LIFD), des déductions prévues à l’art. 86 al. 1 LIFD et de la déduction accordée en cas d’activité lucrative des deux conjoints (art. 33 al. 2 LIFD ; art. 86 al. 2 LIFD).</w:t>
      </w:r>
    </w:p>
    <w:p>
      <w:r>
        <w:t>b. Pour l'ICC, le barème des retenues est établi d’après les taux de l’impôt sur le revenu des personnes physiques (art. 3 al. 1 LISP). Les retenues comprennent</w:t>
      </w:r>
    </w:p>
    <w:p>
      <w:r>
        <w:t>- 8/11 - A/3966/2018 les impôts fédéral, cantonal et communal, ce dernier correspondant à la charge fiscale moyenne des communes du canton (art. 3 al. 2 LISP). Les taux de l’impôt fédéral sont fixés par la législation fédérale (art. 3 al. 3 LISP). Le même barème s’applique dans tout le canton (art. 3 al. 4 LISP).</w:t>
      </w:r>
    </w:p>
    <w:p>
      <w:r>
        <w:t>Le barème tient compte des frais professionnels, des primes et des cotisations d’assurance sous forme de forfait, ainsi que des charges de famille (art. 4 al. 1 LISP). L’impôt concernant les époux vivant en ménage commun et qui exercent tous deux une activité lucrative est calculé selon des barèmes qui tiennent compte du cumul des revenus des conjoints, des déductions prévues à l'art. 4 al. 1 LISP et de la déduction accordée en cas d’activité des deux conjoints (art. 4 al. 2 LISP).</w:t>
      </w:r>
    </w:p>
    <w:p>
      <w:r>
        <w:t>Les barèmes prévus aux art. 3 et 4 LISP sont, pour le revenu brut de la période en cause (prestations en nature comprises) et compte tenu de la situation familiale, recensés dans un tableau annexé au RISP, et qui est adopté chaque année (art. 1 al. 1 RISP). L'état civil et les charges de famille pris en considération sont ceux du contribuable au 31 décembre de l’année en cours ou à la date de fin d’assujettissement si elle est antérieure (art. 1 al. 2 RISP). 5) a. D'après l'art. 9 al. 1 LIFD, les revenus des époux qui vivent en ménage commun sont additionnés, quel que soit le régime matrimonial applicable. A contrario, en cas de divorce ou de séparation durable de fait ou de droit durant la période fiscale, les époux sont imposés séparément (art. 42 al. 2 LIFD), pour l'ensemble de la période fiscale (art. 42 al. 2 LIFD ; ATF 138 II 300 consid. 2.1).</w:t>
      </w:r>
    </w:p>
    <w:p>
      <w:r>
        <w:t>b. Selon la jurisprudence rendue sous l'angle de la LIFD,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(sur ce point, le droit fiscal se distancie du droit civil : arrêt du Tribunal fédéral 2C_707/2018 du 16 septembre 2019 consid. 2.2).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et qu'ils vivent séparés de manière durable. Par ailleurs, l'imposition séparée suppose l'absence de mise en commun des moyens d'existence des époux s'agissant notamment des dépenses afférentes à l'appartement et au ménage ; autrement dit, l'assistance d'un époux par l'autre ne se fait plus que sous la forme de subsides d'un montant déterminé (arrêt du Tribunal fédéral 2C_837/2015 du 23 août 2016 consid. 4.4 et les références citées). Ainsi, par exemple, le ménage commun perdure lorsque des époux ayant des domiciles distincts mènent leur vie de couple durant les fins de</w:t>
      </w:r>
    </w:p>
    <w:p>
      <w:r>
        <w:t>- 9/11 - A/3966/2018 semaine (arrêt du Tribunal fédéral 2A.433/2000 du 12 juillet 2001 consid. 2, in Archives 71 p. 558). 6)</w:t>
      </w:r>
    </w:p>
    <w:p>
      <w:r>
        <w:t>En l'espèce, le prétendu « vice de forme » allégué par la recourante, à savoir l'envoi de rappels à son intention alors qu'une procédure judiciaire était pendante, constituerait tout au plus une violation de l'art. 67 al. 1 LPA, étant précisé que les courriers concernent une autre période fiscale que celles faisant l'objet de la présente procédure. Or une telle violation n'entraîne aucune conséquence particulière sur la validité de la procédure en cours, et la recourante n'invoque aucune base légale susceptible de fonder sa prétention d'« annulation de la procédure » – laquelle aurait d'ailleurs un effet contraire à celui qu'elle souhaite, soit de maintenir les taxations litigieuses.</w:t>
      </w:r>
    </w:p>
    <w:p>
      <w:r>
        <w:t>S'agissant du barème A « personne seule », il ne s'applique pas qu'aux concubins (les personnes vivant avec des enfants mineurs sont imposées selon le barème H), mais aussi aux personnes divorcées, ou séparées de corps ou de fait, ce qui est le cas de figure visé en l'espèce par l'autorité intimée ; étant précisé que la séparation de fait n'implique pas nécessairement de prononcé judiciaire.</w:t>
      </w:r>
    </w:p>
    <w:p>
      <w:r>
        <w:t>Le domicile séparé n'est pas contesté par la recourante, qui indique dans son recours qu'elle et son mari ont voulu « garder leurs adresses propres pour avoir une meilleure vie ». Seul donc est litigieux le maintien ou non du ménage commun malgré le domicile séparé.</w:t>
      </w:r>
    </w:p>
    <w:p>
      <w:r>
        <w:t>À cet égard, les éléments mis en avant par la recourante ne sont pas suffisants pour remettre en cause la séparation de fait. En effet, elle indique avoir participé activement à la « vie de la maison » en payant des factures, faisant des achats et travaillant dans le jardin, avoir maintenu un lien très fort avec son mari durant les dernières années, et l'avoir soutenu financièrement. Ces allégations ne sont, à l'exception de la production de quelques factures (taxe foncière, électricité notamment), pas étayées. De plus, comme l'a relevé pertinemment le TAPI, le paiement de ces frais est inhérent au statut de copropriétaire de la maison. La recourante ne prétend pas avoir pourvu dans une large mesure à l'entretien de son mari, et n'a d'ailleurs pas fourni d'attestation émanant de ce dernier et susceptible de confirmer ses dires. Le fait de maintenir un lien avec son mari, ou encore de faire des achats pour la maison ou de jardiner, ne sauraient quoi qu'il en soit valoir à eux seuls ménage commun.</w:t>
      </w:r>
    </w:p>
    <w:p>
      <w:r>
        <w:t>Il résulte de ce qui précède que c'est à raison que l'intimée a considéré la recourante comme séparée de fait et l'a taxée selon le barème « personne seule ». Le recours doit dès lors être rejeté. 7)</w:t>
      </w:r>
    </w:p>
    <w:p>
      <w:r>
        <w:t>Vu l'issue du litige, un émolument de CHF 500.- sera mis à la charge de la recourante, qui succombe (art. 87 al. 1 LPA), et aucune indemnité de procédure ne sera allouée (art. 87 al. 2 LPA).</w:t>
      </w:r>
    </w:p>
    <w:p>
      <w:r>
        <w:t>- 10/11 - A/3966/2018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