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ATA/287/2016 vom 5. April 2016</w:t>
      </w:r>
    </w:p>
    <w:p>
      <w:r>
        <w:t>GE Cour de justice, 2016-04-05, FR</w:t>
      </w:r>
    </w:p>
    <w:p>
      <w:r>
        <w:rPr>
          <w:b/>
        </w:rPr>
        <w:t xml:space="preserve">Quelle: </w:t>
      </w:r>
      <w:r>
        <w:t>https://mcp.opencaselaw.ch/entscheid/ge_gerichte_ATA_287_2016</w:t>
      </w:r>
    </w:p>
    <w:p>
      <w:r>
        <w:t>FR: GE_GERICHTE ATA/287/2016 du 5 avril 2016</w:t>
      </w:r>
    </w:p>
    <w:p>
      <w:r>
        <w:t>IT: GE_GERICHTE ATA/287/2016 del 5 aprile 2016</w:t>
      </w:r>
    </w:p>
    <w:p>
      <w:pPr>
        <w:pStyle w:val="Heading2"/>
      </w:pPr>
      <w:r>
        <w:t>Regeste</w:t>
      </w:r>
    </w:p>
    <w:p>
      <w:r>
        <w:t>Résumé: Absence de reconnaissance d'une situation d'extrême gravité ouvrant la voie à l'octroi d'un titre de séjour en faveur d'une ressortissante marocaine et de ses deux filles mineures, nées en 2013 et 2014, non reconnues par leur père, vivant illégalement en Suisse depuis 2007 et dont l'intégration sociale, culturelle et professionnelle est lacunaire, l'intéressée ayant au surplus fait l'objet d'une condamnation pénale. L'exécution du renvoi de la famille au Maroc n'est au demeurant ni impossible, inexigible ou illicite. Rejet du recours.</w:t>
      </w:r>
    </w:p>
    <w:p>
      <w:pPr>
        <w:pStyle w:val="Heading2"/>
      </w:pPr>
      <w:r>
        <w:t>Erwägungen</w:t>
      </w:r>
    </w:p>
    <w:p>
      <w:r>
        <w:rPr>
          <w:b/>
        </w:rPr>
        <w:t>E. 12</w:t>
      </w:r>
    </w:p>
    <w:p>
      <w:r>
        <w:t>septembre 1985 - LPA - E 5 10).</w:t>
      </w:r>
    </w:p>
    <w:p>
      <w:r>
        <w:t>- 11/20 - A/2106/2014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6 janvier 2016, ch. 5.6.4).</w:t>
      </w:r>
    </w:p>
    <w:p>
      <w:r>
        <w:t>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1er septembre 2015 ; ATA/823/2015 du 11 août 2015 ; ATA/635/2015 du 16 juin 2015 ; ATA/770/2014 du 30 septembre 2014 ; ATA/703/2014 du 2 septembre 2014). L’autorité doit néanmoins procéder à l’examen de l’ensemble des</w:t>
      </w:r>
    </w:p>
    <w:p>
      <w:r>
        <w:t>- 12/20 - A/2106/2014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 8 décembre 2009).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ATA/1192/2015 précité ; ATA/894/2015 précité ; ATA/823/2015 précité ; ATA/635/2015 précité ; ATA/770/2014 précité ; ATA/703/2014 précité ; ATA/36/2013 du 22 janvier 2013). Par ailleurs, bien que la durée du séjour en Suisse constitue un critère important lors de l’examen d’un cas d’extrême gravité,</w:t>
      </w:r>
    </w:p>
    <w:p>
      <w:r>
        <w:t>- 13/20 - A/2106/2014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ATAF 2007/44 consid. 5 ; arrêt du TAF C-912/2015 du 23 novembre 2015 consid. 4.3.2 ; ATA/1192/2015 précité ; ATA/894/2015 précité ; ATA/823/2015 précité).</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f. Lorsqu’une famille sollicite la reconnaissance d’un cas de rigueur, la situation de chacun de ses membres ne doit pas être considérée isolément, mais en relation avec le contexte familial global, le sort de la famille formant un tout (ATAF 2007/16 consid. 5.3 ; arrêts du TAF C-499/2012 et C-676/2012 du 8 mars 2013 consid. 5.4).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 arrêts du TAF C-499/2012 et C-676/2012 précités consid. 5.4). Ce n’est qu’avec sa scolarisation que son intégration au milieu suisse s’accentue (ATF 123 II 125 consid. 4b). Cette pratique réalise de manière adéquate l’intérêt supérieur de l’enfant, telle que prescrite par l’art. 3 ch. 1 de la Convention relative aux droits de l’enfant du 2 novembre 1989 (CDE - RS 0.107, en vigueur pour la Suisse le 26 mars 1997 ; arrêts du Tribunal fédéral 2A.679/2006 du 9 février 2007 consid. 3 ; 2A.43/2006 du 31 mai 2006 consid. 3.1 ; arrêts du TAF C-499/2012 et C-676/2012 précités consid. 5.4 ; C-3592/2010 du 8 octobre 2012 consid. 6.2).</w:t>
      </w:r>
    </w:p>
    <w:p>
      <w:r>
        <w:t>- 14/20 - A/2106/2014 4)</w:t>
      </w:r>
    </w:p>
    <w:p>
      <w:r>
        <w:t>Un étranger peut invoquer la protection de la vie familiale découlant de l’art. 8 de la Convention de sauvegarde des droits de l’homme et des libertés fondamentales du 4 novembre 1950 (CEDH - RS 0.101) à condition qu’il entretienne une relation étroite et effective avec une personne de sa famille ayant le droit de résider durablement en Suisse, ce qui suppose, selon la jurisprudence du Tribunal fédéral, que cette personne ait la nationalité suisse ou soit au bénéfice d’une autorisation d’établissement ou d’un droit certain à une autorisation de séjour en Suisse (ATF 139 I 330 consid. 2.1 ; 137 I 284 consid. 1.3 ; 136 II 177 consid. 1.2 ; 135 I 143 consid. 1.3.1 ; 130 II 281 consid. 3.1 ; arrêts du Tribunal fédéral 2C_963/2015 du 29 février 2016 consid. 4.1 ; 2C_979/2013 du 25 février 2014 consid. 6.1). Les relations visées par l’art. 8 CEDH sont avant tout celles qui existent entre époux, ainsi que les relations entre parents et enfants mineurs vivant en ménage commun (ATF 135 I 143 consid. 1.3.2 ; 127 II 60 consid. 1d/aa ; arrêts du Tribunal fédéral 2C_580/2015 du 4 mars 2016 consid. 5.2).</w:t>
      </w:r>
    </w:p>
    <w:p>
      <w:r>
        <w:t>L’art. 8 CEDH protège également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précité consid. 3.2 ; 2C_1130/2014 du 4 avril 2015 consid. 4.1 ; 2C_80/2015 du 9 février 2015 consid. 2.1). 5)</w:t>
      </w:r>
    </w:p>
    <w:p>
      <w:r>
        <w:t>En l’espèce, la recourante conteste le refus d’octroi d’une autorisation de séjour pour elle-même et ses filles mineures, arguant être dans un cas d’extrême gravité au sens des art. 30 al. 1 let. b LEtr et 31 al. 1 OASA.</w:t>
      </w:r>
    </w:p>
    <w:p>
      <w:r>
        <w:t>Il ressort du dossier que la recourante est née au Maroc, pays dans lequel elle a passé toute son enfance et la majeure partie de son adolescence et qu’elle a quitté pour la Suisse en 2007, à l’âge de 16 ans, où elle a d’abord résidé chez sa tante, dans le canton de Vaud, avant de venir s’établir à Genève au printemps 2012. Elle a toutefois toujours vécu en Suisse dans l’illégalité, sans tenter de régulariser sa situation jusqu’en 2012, soit après l’interpellation de son compagnon et la perquisition de son domicile. Elle ne saurait dans ces</w:t>
      </w:r>
    </w:p>
    <w:p>
      <w:r>
        <w:t>- 15/20 - A/2106/2014 circonstances se prévaloir du temps passé en Suisse, ce d’autant que son comportement n’est pas exempt de tout reproche, puisqu’elle a fait l’objet d’une condamnation notamment du chef de recel, au vu des nombreux objets trouvés à son domicile provenant d’infractions contre le patrimoine.</w:t>
      </w:r>
    </w:p>
    <w:p>
      <w:r>
        <w:t>La recourante ne peut pas non plus se prévaloir de son intégration sociale et culturelle, lacunaire à plus d’un titre. En effet, elle n’apparaît pas avoir d’attaches particulières avec la Suisse, à défaut d’avoir noué des contacts avec des personnes vivant à Lausanne et à Genève ou s’être constitué un cercle de connaissances ou d’amis, hormis son compagnon, lui-même détenu à plusieurs reprises depuis leur rencontre, voire participer d’une quelconque manière à la vie locale. Elle n’entretient du reste plus de contacts avec sa tante, ayant déposé une plainte pénale à son encontre.</w:t>
      </w:r>
    </w:p>
    <w:p>
      <w:r>
        <w:t>Il en va de même de son intégration professionnelle, qui n’est pas réalisée. Comme elle l’a indiqué à plusieurs reprises, après avoir quitté le domicile de sa tante, la recourante a été employée comme fille au pair, activité ne nécessitant aucune qualification particulière. Elle s’est, au demeurant, limitée à donner de vagues explications à ce sujet, sans documenter ses allégués. La recourante n’a, par la suite, plus exercé aucune activité lucrative, subvenant à ses besoins principalement grâce à l’aide de l’hospice, dont les prestations lui ont été accordées à compter du mois de mars 2013. Sans minimiser les difficultés qu’elle a rencontrées durant son existence, cette situation ne saurait trouver comme seule explication ses grossesses successives ni la charge que représente l’éducation d’un, puis de deux enfants.</w:t>
      </w:r>
    </w:p>
    <w:p>
      <w:r>
        <w:t>Outre le fait que la recourante a déclaré à plusieurs reprises durant la procédure vouloir quitter la Suisse, un retour au Maroc ne serait constitutif d’un déracinement ni pour elle-même, ni pour ses filles. Ces dernières, nées respectivement en 2013 et 2014, ne sont pas encore scolarisées et n’ont, vu leur âge, pas encore créé d’attaches profondes avec la Suisse mais sont, au contraire, proches du pays d’origine de leur mère par son biais. Quant à la recourante, comme précécemment mentionné, elle a passé la majeure partie de sa vie au Maroc, où réside toute sa famille proche, hormis l’une de ses sœurs qui vit en Italie. Rien n’indique qu’une fois de retour au pays, elle ne pourrait bénéficier du soutien de sa famille. En affirmant qu’en tant que mère célibataire elle risquerait d’être reniée par sa famille, la recourante perd de vue qu’elle a allégué être mariée religieusement à son compagnon, situation susceptible de revêtir une signification importante dans la culture de son pays d’origine et pouvant probablement y être reconnue, conformément au document produit par la représentante de l’OCPM en audience, ce dont le TAPI a bien tenu compte dans son jugement, contrairement à ses affirmations.</w:t>
      </w:r>
    </w:p>
    <w:p>
      <w:r>
        <w:t>Si un départ de Suisse aura certes pour effet de séparer la famille, en éloignant la recourante de son compagnon et en empêchant ses filles de continuer</w:t>
      </w:r>
    </w:p>
    <w:p>
      <w:r>
        <w:t>- 16/20 - A/2106/2014 à entretenir des relations personnelles avec lui à Genève, rien n’empêche M. D______ de rejoindre sa famille dans ce pays une fois sa libération ordonnée. La recourante ne saurait à cet égard se prévaloir de la garantie de la vie privée et familiale, dès lors que son compagnon ne dispose en Suisse d’aucun titre de séjour et qu’il fait l’objet d’une mesure de renvoi prononcée en 2011, laquelle n’a pu être exécutée à ce jour en raison de ses condamnations successives.</w:t>
      </w:r>
    </w:p>
    <w:p>
      <w:r>
        <w:t>Par ailleurs, même si la recourante a indiqué avoir déposé une plainte pénale à l’encontre de sa tante, rien n’indique que sa présence continue en Suisse soit nécessaire durant l’ensemble de la procédure pénale, étant précisé qu’elle n’a produit aucun document dans ce sens, hormis un courrier adressé à l’autorité pénale compétente. Le moment venu, il lui sera loisible de requérir auprès de l’autorité compétente un laissez-passer ou un sauf-conduit pour assister aux éventuelles audiences.</w:t>
      </w:r>
    </w:p>
    <w:p>
      <w:r>
        <w:t>Il s’ensuit que le TAPI, tout comme l’OCPM avant sa saisine, a pris en compte l’ensemble des éléments en lien avec la situation de la recourante, motivant son jugement de manière circonstanciée sur tous les points pertinents, pour conclure, à juste titre, qu’elle ne pouvait se prévaloir d’une exception aux conditions d’admission sur la base des art. 30 al. 1 let. b LEtr et 31 al. 1 OASA, dont les réquisits ne sont pas remplis. Le jugement entrepris sera dès lors confirmé sous cet angle. 6) a. Selon l’art. 64 al. 1 let. c LEtr, les autorités compétentes rendent une décision de renvoi ordinaire à l’encontre d’un étranger auquel l’autorisation de séjour est refusée ou dont l’autorisation n’est pas prolongée.</w:t>
      </w:r>
    </w:p>
    <w:p>
      <w:r>
        <w:t>b. Le renvoi d’un étranger ne peut être ordonné que si l’exécution de celui-ci est possible, licite ou peut être raisonnablement exigée (art. 83 al. 1 LEtr).</w:t>
      </w:r>
    </w:p>
    <w:p>
      <w:r>
        <w:t>Le renvoi n’est ainsi pas possible lorsque l’intéressé ne peut quitter la Suisse pour son État d’origine, son État de provenance ou un État tiers ni être renvoyé dans un de ces États (art. 83 al. 2 LEtr).</w:t>
      </w:r>
    </w:p>
    <w:p>
      <w:r>
        <w:t>Il n’est pas licite lorsqu’il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w:t>
      </w:r>
    </w:p>
    <w:p>
      <w:r>
        <w:t>- 17/20 - A/2106/2014 de l’État contre lesquels les autorités ne sont pas en mesure d’offrir une protection appropriée (ATAF 2010/42 consid. 11.2 et 11.3 ; ATAF 2009/2 consid. 9.1 ; arrêt du TAF C-374/2014 du 2 mars 2016 consid. 6.3.1).</w:t>
      </w:r>
    </w:p>
    <w:p>
      <w:r>
        <w:t>Il n’est pas raisonnablement exigible s’il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C-374/2014 précité consid. 6.4 ; D-5434/2009 du 4 février 2013 consid. 15.1 ; E-5092/2013 du 29 octobre 2013 consid 6.1 ; ATA/189/2016 du 1er mars 2016 ; ATA/1278/2015 du 1er décembre 2015 consid. 7b).</w:t>
      </w:r>
    </w:p>
    <w:p>
      <w:r>
        <w:t>c. En l’espèce, la recourante allègue que son renvoi ne saurait être ordonné.</w:t>
      </w:r>
    </w:p>
    <w:p>
      <w:r>
        <w:t>Bien que le passeport de la recourante, valable jusqu’en juin 2015, soit à présent échu, rien n’indique qu’elle ne pourrait pas en obtenir le renouvellement, ce qu’elle ne prétend d’ailleurs pas, se limitant à relever le refus de l’ambassade d’établir des documents d’identité pour ses filles, en l’absence de filiation paternelle établie. Outre le fait qu’à l’appui de ses allégués la recourante n’a produit aucun document en lien avec ce refus autre qu’un courrier adressé à l’ambassade, il ressort de l’extrait du code de la famille marocain versé au dossier par la représentante de l’OCPM que la nationalité marocaine se transmet par le droit du sang de la mère à ses enfants, étant précisé que des extraits de naissance de l’état civil suisse ont été délivrés à la naissance des filles de la recourante. Elle ne saurait au demeurant tirer argument de l’absence de papiers d’identité de son compagnon, situation qui est seule imputable à ce dernier, l’intéressé n’apparaissant, malgré ses affirmations, pas avoir entrepris de démarches sérieuses dans ce sens. En tout état de cause, il est loisible à la recourante de solliciter auprès des autorités diplomatiques de son pays un laissez-passer pour ses filles, afin que leur statut soit établi une fois au Maroc. Le renvoi de la recourante et de ses filles ne se heurte ainsi pas à des obstacles d’ordre technique et n’est pas matériellement impossible.</w:t>
      </w:r>
    </w:p>
    <w:p>
      <w:r>
        <w:t>- 18/20 - A/2106/2014</w:t>
      </w:r>
    </w:p>
    <w:p>
      <w:r>
        <w:t>L’exécution du renvoi est également raisonnablement exigible et licite, dans la mesure où elle ne fait pas apparaître une mise en danger concrète de la recourante et de ses filles, le Maroc n’étant pas en proie à une guerre, une guerre civile ou à des violences généralisées, ni ne l’exposerait à un traitement contraire aux engagements de la Suisse. La recourante ne démontre en particulier pas qu’un retour dans son pays d’origine l’exposerait concrètement à un danger, même en tant que mère dite célibataire, étant précisé, comme précédemment rappelé, que son mariage religieux n’est pas dénué de signification et que des allégués simplement d’ordre général ne sauraient suffire pour surseoir au renvoi (ATF 139 II 65 consid. 5.4 et 6.4).</w:t>
      </w:r>
    </w:p>
    <w:p>
      <w:r>
        <w:t>Le fait que ses conditions de vie soient plus difficiles au Maroc que celles auxquelles elle a été habituée en Suisse n’est pas suffisant pour surseoir à son renvoi, étant précisé que la recourante, encore jeune, n’a aucun problème de santé particulier. Il peut ainsi être exigé d’elle qu’elle surmonte les difficultés qui l’attendent pour sa réintégration au Maroc.</w:t>
      </w:r>
    </w:p>
    <w:p>
      <w:r>
        <w:t>Le jugement du TAPI sera dès lors également confirmé sur ce point. 7)</w:t>
      </w:r>
    </w:p>
    <w:p>
      <w:r>
        <w:t>Il s’ensuit que le recours sera rejeté. 8)</w:t>
      </w:r>
    </w:p>
    <w:p>
      <w:r>
        <w:t>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allouée au vu de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